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VENCIMENTOS E VANTAGENS FINANCEIRAS</w:t>
      </w:r>
    </w:p>
    <w:p/>
    <w:p/>
    <w:p>
      <w:r>
        <w:t xml:space="preserve">OFERECIMENTO TARDIO — ARTS. 13 E 37 DO CPC - INAPLICABILIDADE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 - É inadmissível, em instância recursal, o oferecimento tardio de procuração, nos termos do art. 37 do CPC, ainda que mediante protesto por posterior juntada, já que a interposição de recurso não pode ser reputada ato urgente. (ex-OJ nº 311 - DJ 11-08-2003) II - Inadmissível na fase recursal a regularização da representação processual, na forma do art. 13 do CPC, cuja aplicação se restringe ao Juízo de 1º grau. (ex-OJ nº 149 - Inserida em 27-11-1998) (conversão das Orientações Jurisprudenciais nºs 149 e 311 da SDI-1) Res. 129/2005 - DJ de 20-04-2005 EMENTÁRIO FORENSE. Junho, 2005. Ano LVII. Nº 679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2026-10-26T03:03:10.098Z</dcterms:created>
  <dcterms:modified xsi:type="dcterms:W3CDTF">2026-10-26T03:03:10.098Z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