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VENCIMENTOS E VANTAGENS FINANCEIRAS</w:t>
      </w:r>
    </w:p>
    <w:p/>
    <w:p/>
    <w:p>
      <w:r>
        <w:t xml:space="preserve">FALTA DE PODERES EXPRESSOS — VALIDADE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São válidos os atos praticados pelo substabelecido, ainda que não haja, no mandato, poderes expressos para substabelecer (art. 667, e parágrafos, do Código Civil de 2002). (ex-OJ nº 108 - Inserida em 01-10-1997) (conversão das Orientações Jurisprudenciais nºs 108, 312, 313 e 330 da SDI-1) Res. 129/2005 - DJ de 20-04-2005 EMENTÁRIO FORENSE. Junho, 2005. Ano LVII. Nº 679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2026-07-28T00:10:42.809Z</dcterms:created>
  <dcterms:modified xsi:type="dcterms:W3CDTF">2026-07-28T00:10:42.809Z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