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RECURSO DE REVISTA</w:t>
      </w:r>
    </w:p>
    <w:p>
      <w:r>
        <w:rPr>
          <w:i/>
          <w:iCs/>
          <w:color w:val="666666"/>
        </w:rPr>
        <w:t xml:space="preserve">INCONSTITUCIONALIDADE DE LEI</w:t>
      </w:r>
    </w:p>
    <w:p/>
    <w:p/>
    <w:p>
      <w:r>
        <w:t xml:space="preserve">SUPERVENIÊNCIA DE SENTENÇA CONCESSIVA — PERDA DE OBJETO DA SEGURANÇA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I - ................................................... II - .................................................. III - A superveniência da sentença, nos autos originários, faz perder o objeto do mandado de segurança que impugnava a concessão da tutela antecipada (ou liminar). (ex-OJs nº 86 - inserida em 13.03.02 e nº 139 - DJ 04.05.04). (conversão das Orientações Jurisprudenciais nºs 50, 51, 58, 86 e 139 da SDI-II) Res. 137/05 - DJ 22-08-05 EMENTÁRIO FORENSE. Agosto, 2005. Ano LVII. Nº 681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2026-10-16T16:08:47.630Z</dcterms:created>
  <dcterms:modified xsi:type="dcterms:W3CDTF">2026-10-16T16:08:47.630Z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