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RECURSO DE REVISTA</w:t>
      </w:r>
    </w:p>
    <w:p>
      <w:r>
        <w:rPr>
          <w:i/>
          <w:iCs/>
          <w:color w:val="666666"/>
        </w:rPr>
        <w:t xml:space="preserve">INCONSTITUCIONALIDADE DE LEI</w:t>
      </w:r>
    </w:p>
    <w:p/>
    <w:p/>
    <w:p>
      <w:r>
        <w:t xml:space="preserve">QUANDO FERE DIREITO LÍQUIDO E CERTO DO EXECUTADO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................................................... II - ................................................. III - Em se tratando de execução provisória, fere direito líquido e certo do impetrante a determinação de penhora em dinheiro, quando nomeados outros bens à penhora, pois o executado tem direito a que a execução se processe da forma que lhe seja menos gravosa, nos termos do art. 620 do CPC. (ex-OJ nº 62 - inserida em 20.09.00) (conversão das Orientações Jurisprudenciais nºs 60, 61 e 62 da SDI-II) Res. 137/05 - DJ 22-08-05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2026-07-28T04:09:24.773Z</dcterms:created>
  <dcterms:modified xsi:type="dcterms:W3CDTF">2026-07-28T04:09:24.773Z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