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RECURSO DE REVISTA</w:t>
      </w:r>
    </w:p>
    <w:p>
      <w:r>
        <w:rPr>
          <w:i/>
          <w:iCs/>
          <w:color w:val="666666"/>
        </w:rPr>
        <w:t xml:space="preserve">INCONSTITUCIONALIDADE DE LEI</w:t>
      </w:r>
    </w:p>
    <w:p/>
    <w:p/>
    <w:p>
      <w:r>
        <w:t xml:space="preserve">QUANDO FERE DIREITO LÍQUIDO E CERTO DO EXECUTADO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................................................... II - ................................................. III - Em se tratando de execução provisória, fere direito líquido e certo do impetrante a determinação de penhora em dinheiro, quando nomeados outros bens à penhora, pois o executado tem direito a que a execução se processe da forma que lhe seja menos gravosa, nos termos do art. 620 do CPC. (ex-OJ nº 62 - inserida em 20.09.00) (conversão das Orientações Jurisprudenciais nºs 60, 61 e 62 da SDI-II) Res. 137/05 - DJ 22-08-05 EMENTÁRIO FORENSE. Agosto, 2005. Ano LVII. Nº 681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2026-10-16T16:03:20.811Z</dcterms:created>
  <dcterms:modified xsi:type="dcterms:W3CDTF">2026-10-16T16:03:20.811Z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