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r>
        <w:rPr>
          <w:b/>
          <w:bCs/>
        </w:rPr>
        <w:t xml:space="preserve">Recurso: </w:t>
      </w:r>
      <w:r>
        <w:t xml:space="preserve">MANDADO DE SEGURANÇA .</w:t>
      </w:r>
    </w:p>
    <w:p>
      <w:r>
        <w:rPr>
          <w:b/>
          <w:bCs/>
        </w:rPr>
        <w:t xml:space="preserve">Tribunal: </w:t>
      </w:r>
      <w:r>
        <w:t xml:space="preserve">TST</w:t>
      </w:r>
    </w:p>
    <w:p/>
    <w:p>
      <w:r>
        <w:t xml:space="preserve">02. CONVERSÃO EM SÚMULAS DE DIVERSAS ORIENTAÇÕES JURISPRUDENCIAIS</w:t>
      </w:r>
    </w:p>
    <w:p/>
    <w:p>
      <w:pPr>
        <w:pStyle w:val="Heading2"/>
      </w:pPr>
      <w:r>
        <w:rPr>
          <w:b/>
          <w:bCs/>
        </w:rPr>
        <w:t xml:space="preserve">Ementa</w:t>
      </w:r>
    </w:p>
    <w:p>
      <w:r>
        <w:t xml:space="preserve">Nº 303 FAZENDA PÚBLICA. DUPLO GRAU DE JURISDIÇÃO. (incorporadas as Orientações Jurisprudenciais nos 9,71, 72 e 73 da SDI-1) I - Em dissídio individual, está sujeita ao duplo grau de jurisdição, mesmo na vigência da CF/1988, decisão contrária à Fazenda Pública, salvo: a) quando a condenação não ultrapassar o valor correspondente a 60 (sessenta) salários mínimos; (ex-OJ nº 09 incorporada pela Res 121/2003, DJ 21.11.2003) b) quando a decisão estiver em consonância com decisão plenária do Supremo Tribunal Federal ou com súmula ou orientação jurisprudencial do Tribunal Superior do Trabalho. (ex-Súmula nº 303 - Res 121/2003, DJ 21.11.2003) II - Em ação rescisória, a decisão proferida pelo juízo de primeiro grau está sujeita ao duplo grau de jurisdição obrigatório quando desfavorável ao ente público, exceto nas hipóteses das alíneas "a" e "b" do inciso anterior. (ex-OJ nº 71 - Inserida em 03.06.1996) III - Em mandado de segurança, somente cabe remessa "ex officio" se, na relação processual, figurar pessoa jurídica de direito público como parte prejudicada pela concessão da ordem. Tal situação não ocorre na hipótese de figurar no feito como impetrante e terceiro interessado pessoa de direito privado, ressalvada a hipótese de matéria administrativa. (ex-OJs nº 72 - Inserida em 25.11.1996 e nº 73 - Inserida em 03.06.1996) Nº 308 PRESCRIÇÃO QÜINQÜENAL (incorporada a Orientação Jurisprudencial nº 204 da SDI-1) I. Respeitado o biênio subseqüente à cessação contratual, a prescrição da ação trabalhista concerne às pretensões imediatamente anteriores a cinco anos, contados da data do ajuizamento da reclamação e, não, às anteriores ao qüinqüênio da data da extinção do contrato. (ex-OJ nº 204 - Inserida em 08.11.2000) II. A norma constitucional que ampliou o prazo de prescrição da ação trabalhista para 5 (cinco) anos é de aplicação imediata e não atinge pretensões já alcançadas pela prescrição bienal quando da promulgação da CF/1988. (ex-Súmula nº 308 - Res 6/1992 , DJ 05.11.1992) Nº 324 HORAS "IN ITINERE". ENUNCIADO Nº 90. INSUFICIÊNCIA DE TRANSPORTE PÚBLICO (cancelada em decorrência da sua incorporação à nova redação da súmula nº 90) A mera insuficiência de transporte público não enseja o pagamento de horas "in itinere". Nº 325 HORAS "IN ITINERE". ENUNCIADO Nº 90. REMUNERAÇÃO EM RELAÇÃO A TRECHO NÃO SERVIDO POR TRANSPORTE PÚBLICO. (cancelada em decorrência da sua incorporação à nova redação da Súmula nº 90) Se houver transporte público regular, em parte do trajeto percorrido em condução da empresa, as horas "in itinere" remuneradas limitam-se ao trecho não alcançado pelo transporte público. Nº 337 COMPROVAÇÃO DE DIVERGÊNCIA JURISPRUDENCIAL. RECURSOS DE REVISTA E DE EMBARGOS. (incorporada a Orientação Jurisprudencial nº 317 da SDI-1) I - Para comprovação da divergência justificadora do recurso, é necessário que o recorrente: a) Junte certidão ou cópia autenticada do acórdão paradigma ou cite a fonte oficial ou o repositório autorizado em que foi publicado; e b) Transcreva, nas razões recursais, as ementas e/ou trechos dos acórdãos trazidos à configuração do dissídio, demonstrando o conflito de teses que justifique o conhecimento do recurso, ainda que os acórdãos já se encontrem nos autos ou venham a ser juntados com o recurso. (ex-Súmula nº 337 - Res 121/2003, DJ 21.11.2003) II - A concessão de registro de publicação como repositório autorizado de jurisprudência do TST tornam válidas todas as suas edições anteriores. (ex-OJ nº 317 - DJ 11.08.2003) Nº 338 JORNADA DE TRABALHO. REGISTRO. ÔNUS DA PROVA. (incorporadas as Orientações Jurisprudenciais nos 234 e 306 da SDI-1) I - É ônus do empregador que conta com mais de 10 (dez) empregados o registro da jornada de trabalho na forma do art. 74, § 2º, da CLT. A não-apresentação injustificada dos controles de freqüência gera presunção relativa de veracidade da jornada de trabalho, a qual pode ser elidida por prova em contrário. (ex-Súmula nº 338 - Res 121 , DJ 21.11.2003) II - A presunção de veracidade da jornada de trabalho, ainda que prevista em instrumento normativo, pode ser elidida por prova em contrário. (ex-OJ nº 234 - Inserida em 20.06.2001) III - Os cartões de ponto que demonstram horários de entrada e saída uniformes são inválidos como meio de prova, invertendo-se o ônus da prova, relativo às horas extras, que passa a ser do empregador, prevalecendo a jornada da inicial se dele não se desincumbir. (ex- OJ nº 306 - DJ 11.08.2003) Nº 339 CIPA. SUPLENTE. GARANTIA DE EMPREGO. CF/1988.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2026-07-28T01:48:09.598Z</dcterms:created>
  <dcterms:modified xsi:type="dcterms:W3CDTF">2026-07-28T01:48:09.598Z</dcterms:modified>
</cp:coreProperties>
</file>

<file path=docProps/custom.xml><?xml version="1.0" encoding="utf-8"?>
<Properties xmlns="http://schemas.openxmlformats.org/officeDocument/2006/custom-properties" xmlns:vt="http://schemas.openxmlformats.org/officeDocument/2006/docPropsVTypes"/>
</file>