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Tribunal: </w:t>
      </w:r>
      <w:r>
        <w:t xml:space="preserve">TST</w:t>
      </w:r>
    </w:p>
    <w:p/>
    <w:p>
      <w:r>
        <w:t xml:space="preserve">REVISA O ENUNCIADO Nº 353 DA SÚMULA DE JURISPRUDÊNCIA DO TST</w:t>
      </w:r>
    </w:p>
    <w:p/>
    <w:p>
      <w:pPr>
        <w:pStyle w:val="Heading2"/>
      </w:pPr>
      <w:r>
        <w:rPr>
          <w:b/>
          <w:bCs/>
        </w:rPr>
        <w:t xml:space="preserve">Ementa</w:t>
      </w:r>
    </w:p>
    <w:p>
      <w:r>
        <w:t xml:space="preserve">TRIBUNAL PLENO RESOLUÇÃO Nº 128/2005 CERTIFICO E DOU FÉ que o Egrégio Pleno do Tribunal Superior do Trabalho, em sessão ordinária hoje realizada, sob a Presidência do Ex.mo Sr. Ministro Vantuil Abdala, presentes os Ex.mos Ministros Rider Nogueira de Brito, Corregedor-Geral da Justiça do Trabalho, José Luciano de Castilho Pereira, João Oreste Dalazen, Gelson de Azevedo, Carlos Alberto Reis de Paula, Antônio José de Barros Levenhagen, Ives Gandra Martins Filho, João Batista Brito Pereira, Maria Cristina Irigoyen Peduzzi, José Simpliciano Fontes de Faria Fernandes, Renato de Lacerda Paiva, Emmanoel Pereira, Lelio Bentes Corrêa e Aloysio Corrêa da Veiga, e a Ex.ma Procuradora-Geral do Trabalho, Dr.a Sandra Lia Simón, no julgamento do Processo nº TST-E-AIRR-786.345/2001.0, RESOLVEU, por maioria, revisar o Enunciado nº 353, da Súmula de Jurisprudência do Tribunal, que passará a vigorar com a seguinte redação: ENUNCIADO Nº 353 "Embargos. Agravo. Cabimento. Não cabem embargos para a Seção de Dissídios Individuais de decisão de Turma proferida em agravo, salvo: a) da decisão que não conhece de agravo de instrumento ou de agravo pela ausência de pressupostos extrínsecos; b) da decisão que nega provimento a agravo contra decisão monocrática do Relator, em que se proclamou a ausência de pressupostos extrínsecos de agravo de instrumento; c) para revisão dos pressupostos extrínsecos de admissibilidade do recurso de revista, cuja ausência haja sido declarada originariamente pela Turma no julgamento do agravo; d) para impugnar o conhecimento de agravo de instrumento; e) para impugnar a imposição de multas previstas no art. 538, parágrafo único, do CPC, ou no art. 557, § 2º, do CPC." Sala de Sessões, 03 de março 2005. VALÉRIO AUGUSTO FREITAS DO CARMO Diretor-Geral de Coordenação Judiciária DJ de 14, 15 e 16/03/2005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2026-07-28T01:21:58.384Z</dcterms:created>
  <dcterms:modified xsi:type="dcterms:W3CDTF">2026-07-28T01:21:58.384Z</dcterms:modified>
</cp:coreProperties>
</file>

<file path=docProps/custom.xml><?xml version="1.0" encoding="utf-8"?>
<Properties xmlns="http://schemas.openxmlformats.org/officeDocument/2006/custom-properties" xmlns:vt="http://schemas.openxmlformats.org/officeDocument/2006/docPropsVTypes"/>
</file>