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NORMAS PROCEDIMENTAIS APLICÁVEIS AO PROCESSO DO TRABALHO EM DECORRÊNCIA DA AMPLIAÇÃO DA COMPETÊNCIA DA JUSTIÇA DO TRABALHO PELA EMENDA CONSTITUCIONAL Nº 45/2004</w:t>
      </w:r>
    </w:p>
    <w:p/>
    <w:p>
      <w:pPr>
        <w:pStyle w:val="Heading2"/>
      </w:pPr>
      <w:r>
        <w:rPr>
          <w:b/>
          <w:bCs/>
        </w:rPr>
        <w:t xml:space="preserve">Ementa</w:t>
      </w:r>
    </w:p>
    <w:p>
      <w:r>
        <w:t xml:space="preserve">TRIBUNAL PLENO RESOLUÇÃO Nº 126/2005 CERTIFICO E DOU FÉ que o Egrégio Pleno do Tribunal Superior do Trabalho, em sessão extraordinária hoje realizada, sob a Presidência do Ex.mo Sr. Ministro Vantuil Abdala, presentes os Ex.mos Ministros Ronaldo Lopes Leal, Vice-Presidente, José Luciano de Castilho Pereira, João Oreste Dalazen, Gelson de Azevedo, Carlos Alberto Reis de Paula, Antônio José de Barros Levenhagen, Ives Gandra Martins Filho, João Batista Brito Pereira, Maria Cristina Irigoyen Peduzzi, José Simpliciano Fontes de Faria Fernandes, Renato de Lacerda Paiva, Emmanoel Pereira, Lelio Bentes Corrêa e Aloysio Corrêa da Veiga, e a Ex.ma Procuradora-Geral do Trabalho, Dr.a Sandra Lia Simón, considerando o disposto na Emenda Constitucional nº 45/2004, que ampliou a competência material da Justiça do Trabalho, submetendo ao seu conhecimento e julgamento dissídios oriundos da relação de trabalho, além de outros, com repercussões no direito processual do trabalho, e considerando a possibilidade de surgirem controvérsias incidentais acerca de questões processuais, RESOLVEU, por unanimidade, editar a Instrução Normativa nº 27, nos seguintes termos: INSTRUÇÃO NORMATIVA Nº 27 Dispõe sobre normas procedimentais aplicáveis ao processo do trabalho em decorrência da ampliação da competência da Justiça do Trabalho pela Emenda Constitucional nº 45/2004. Art. 1º As ações ajuizadas na Justiça do Trabalho tramitarão pelo rito ordinário ou sumaríssimo, conforme previsto na Consolidação das Leis do Trabalho, excepcionando-se, apenas, as que, por disciplina legal expressa, estejam sujeitas a rito especial, tais como o Mandado de Segurança, Habeas Corpus, Habeas Data, Ação Rescisória, Ação Cautelar e Ação de Consignação em Pagamento. Art. 2º A sistemática recursal a ser observada é a prevista na Consolidação das Leis do Trabalho, inclusive no tocante à nomenclatura, à alçada, aos prazos e às competências. Parágrafo único. O depósito recursal a que se refere o art. 899 da CLT é sempre exigível como requisito extrínseco do recurso, quando houver condenação em pecúnia. Art. 3º Aplicam-se quanto às custas as disposições da Consolidação das Leis do Trabalho. § 1º As custas serão pagas pelo vencido, após o trânsito em julgado da decisão. § 2º Na hipótese de interposição de recurso, as custas deverão ser pagas e comprovado seu recolhimento no prazo recursal (artigos 789, 789-A, 790 e 790-A da CLT). § 3º Salvo nas lides decorrentes da relação de emprego, é aplicável o princípio da sucumbência recíproca, relativamente às custas. Art. 4º Aos emolumentos aplicam-se as regras previstas na Consolidação das Leis do Trabalho, conforme previsão dos artigos 789-B e 790 da CLT. Art. 5º Exceto nas lides decorrentes da relação de emprego, os honorários advocatícios são devidos pela mera sucumbência. Art. 6º Os honorários periciais serão suportados pela parte sucumbente na pretensão objeto da perícia, salvo se beneficiária da justiça gratuita. Parágrafo único. Faculta-se ao juiz, em relação à perícia, exigir depósito prévio dos honorários, ressalvadas as lides decorrentes da relação de emprego. Art. 7º Esta Resolução entrará em vigor na data da sua publicação. Sala de Sessões, 16 de fevereiro de 2005. VALÉRIO AUGUSTO FREITAS DO CARMO Diretor-Geral de Coordenação Judiciária DJ de 22-02-2005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2026-07-28T03:43:48.270Z</dcterms:created>
  <dcterms:modified xsi:type="dcterms:W3CDTF">2026-07-28T03:43:48.270Z</dcterms:modified>
</cp:coreProperties>
</file>

<file path=docProps/custom.xml><?xml version="1.0" encoding="utf-8"?>
<Properties xmlns="http://schemas.openxmlformats.org/officeDocument/2006/custom-properties" xmlns:vt="http://schemas.openxmlformats.org/officeDocument/2006/docPropsVTypes"/>
</file>