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/>
    <w:p>
      <w:r>
        <w:t xml:space="preserve">INDISTINÇÃO ENTRE OS FILHOS HAVIDOS OU NÃO DA RELAÇÃO DO CASAMENTO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227, § 6º, da Constituição da República Federativa do Brasil, de 1988. - Entende-se que a regra do art. 360 do Código Civil foi derrogada pela Constituição Federal vigente, que estabelece, em síntese, que o filho, qualquer que seja a sua designação, é sempre o titular dos direitos que a lei assegura para sua proteção. - Decide bem o magistrado que aplica analogicamente os princípios da Lei nº 6.515/77 ao caso da dissolução da sociedade conjugal de fato. V. o t. CONCUBINATO st. DISSOLUÇÃO DE SOCIEDADE EMENTÁRIO FORENSE. Outubro, 1989. Ano XLI. Nº 491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2026-10-26T05:37:24.868Z</dcterms:created>
  <dcterms:modified xsi:type="dcterms:W3CDTF">2026-10-26T05:37:24.868Z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