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>
      <w:r>
        <w:rPr>
          <w:b/>
          <w:bCs/>
        </w:rPr>
        <w:t xml:space="preserve">Recurso: </w:t>
      </w:r>
      <w:r>
        <w:t xml:space="preserve">MS 9.097</w:t>
      </w:r>
    </w:p>
    <w:p/>
    <w:p>
      <w:r>
        <w:t xml:space="preserve">ESTADO DE SÃO PAULO — LICENCIAMENTO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Estado de São Paulo, funcionário eleito vereador fica licenciado por toda a duração do mandato. Referência: - Const. Est. (São Paulo), artigo 77, § 2º, c/c artigo 18; - Lei Est. nº 1.845; de 27.10.52, art.1º, parágrafo único RMS 9.097, de 07.05.62; RMS 9.019, de 07.05.62; RMS 9.022, de 13.11.61; RMS4.714, de 27.11.57. Aprovada em Sessão de 13-12-1963 - pág. 44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2026-10-26T04:13:49.508Z</dcterms:created>
  <dcterms:modified xsi:type="dcterms:W3CDTF">2026-10-26T04:13:49.508Z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