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TRIBUNAL SUPERIOR DO TRABALHO</w:t>
      </w:r>
    </w:p>
    <w:p>
      <w:r>
        <w:rPr>
          <w:i/>
          <w:iCs/>
          <w:color w:val="666666"/>
        </w:rPr>
        <w:t xml:space="preserve">INSTRUÇÃO NORMATIVA</w:t>
      </w:r>
    </w:p>
    <w:p/>
    <w:p>
      <w:r>
        <w:rPr>
          <w:b/>
          <w:bCs/>
        </w:rPr>
        <w:t xml:space="preserve">Julgado em: </w:t>
      </w:r>
      <w:r>
        <w:t xml:space="preserve">17/01/2006</w:t>
      </w:r>
    </w:p>
    <w:p/>
    <w:p>
      <w:r>
        <w:t xml:space="preserve">CONTA CORRENTE — SISTEMA BACEN-JUD - LEGITIMIDADE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matéria discutida no presente agravo de petição, portanto limita-se à legitimidade da penhora promovida sobre os créditos da conta-corrente do agravante por meio do sistema Bacen-jud. A questão da responsabilidade do agravante pelos débitos do primeiro agravado é objeto dos embargos de terceiro nº 01450-2005-404-04-00-9, aguardando julgamento do agravo de petição interposto. - O Provimento nº 01/2003 da Corregedoria Geral da Justiça do Trabalho, dispõe: "tratando-se de execução definitiva, o sistema Bacen Jud deve ser utilizado com prioridade sobre outras modalidades de constrição judicial". Tal orientação está em consonância com o art. 882 da CLT, que determina a observância da ordem preferencial estabelecida no art. 655 do CPC. - Tratando-se, pois, de execução definitiva, é legítima a penhora de numerário por meio do Sistema Bacen-Jud, possibilitando a utilização desses valores de forma prioritária sobre outras formas de constrição judicial. - A agravante não faz prova de que a penhora efetuada teria acarretado o alegado prejuízo. Sua alegação de que os valores bloqueados seriam absolutamente necessários para o pagamento de seus empregados, além de não-comprovada não possuem o alcance jurídico pretendido. Do mesmo modo, mesmo existindo outro bem a ser penhorado, não há ilegalidade na determinação de bloqueio, pois esta se caracteriza pelo alcance de dinheiro, respeitando a ordem fixada pelo art. 655 do CPC. - Descabe falar em substituição da penhora em dinheiro pela penhora de máquina de sua propriedade. O objetivo da penhora é arrecadar dinheiro ou bens materiais do devedor capazes de ser transformados em pecúnia e, assim, garantir o pagamento da dívida, o que foi feito. Ademais, a Lei das Execuçõe s Fiscais (Lei nº 6.830/80), em seu art. 11, aplicável subsidiariamente por força do art. 889 da CLT, enumera ordenadamente os bens passíveis de penhora, determinando, em primeiro lugar, a penhora de dinheiro. Assim, ilógica e protelatória a substituição pretendida, pois a penhora realizada já alcançou o objetivo almejado pelo legislador. - Nesse sentido os ensinamentos de MANOEL ANTÔNIO TEIXEIRA FILHO: "Se o ato de nomear bens à penhora ficasse ao talante exclusivo do devedor, não há dúvida de que o grande prejudicado seria o credor, cujos interesses ficariam submetidos a graves riscos. Por esse motivo, a lei costuma estabelecer uma 'ordem preferencial' de bens penhoráveis, tornando, inclusive, ineficaz a nomeação realizada com desobediência a essa ordem" ("in" Execução no Processo do Trabalho, 4ª ed., Editora LTr, p. 407). - De outra parte, como bem referiu a julgadora de origem, é totalmente intempestiva a pretensão, pois o momento oportuno para apresentá-la seria por ocasião da ciência da penhora, que se deu pela notificação expedida em 28-03-05 (fl.), e não em 11-07-05 (fls.), cerca de 3 meses após o ato de constrição. Importante salientar que o fato de a agravante ter optado por outro remédio processual quando da ciência da penhora, no caso os embargos de terceiro, não torna a pretensão ora veiculada tempestiva. - De qualquer modo, agiu com a devida cautela a julgadora de origem, ao condicionar o prosseguimento da execução ao trânsito em julgado dos embargos de terceiro, a fim de evitar prejuízo às partes litigantes (fl.). Julgado em 18-01-2006 DJ de 30-01-2006 Arquivo do EMFOR, TRT/N 6627 EMENTÁRIO FORENSE. Fevereiro, 2006. Ano LVIII. Nº 687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legítima a penhora promovida por meio do Sistema Bacen-Jud, pois observa a ordem preferencial do art. 655 do CPC, de aplicação subsidiária no Processo do Trabalho.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2026-07-28T01:35:48.627Z</dcterms:created>
  <dcterms:modified xsi:type="dcterms:W3CDTF">2026-07-28T01:35:48.627Z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