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Julgado em: </w:t>
      </w:r>
      <w:r>
        <w:t xml:space="preserve">13/12/2005</w:t>
      </w:r>
    </w:p>
    <w:p/>
    <w:p>
      <w:r>
        <w:t xml:space="preserve">NÃO REQUERIMENTO PELA PARTE EXEQUENTE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Justiça do Trabalho, a execução é impulsionada "ex officio" pelo próprio Juiz, na forma do art. 878 da CLT. Assim, irrelevante que a determinação de bloqueio da conta corrente do executado tenha ou não sido requerida pela parte exeqüente. - Por outro lado a decisão de determinar o prosseguimento da execução por meio de determinação de bloqueio da conta corrente com base no convênio Bacen-jud não carece de ser acompanhada de qualquer motivação, já que esta é evidente por si só, tratando-se apenas de mero cumprimento do dever legal do magistrado de impulsionar o processo de execução. - A ordem em questão respeita rigorosamente a ordem legal prevista no art. 655, já que o primeiro bem a ser penhorado é justamente o dinheiro (art. 655, I). Por outro lado, não se aplica, senão mitigadamente, no processo de execução trabalhista (que visa a satisfação de crédito de natureza alimentar), o princípio da utilização preferência da via menos gravosa ao executado. - Assim, a penhora de dinheiro da conta bancária da reclamada não é abusiva nem ilegal, mas o meio mais eficiente de satisfação do crédito do exeqüente que, por muitos anos, espera para o recebimento dos valores que a Justiça que reconheceu como devidos. - Nega-se provimento ao agravo. Julgado em 14-12-2005 DJ de 17-01-2006 Arquivo do EMFOR, TRT/N 6628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Justiça do Trabalho, a execução é impulsionada "ex officio" pelo próprio Juiz, na forma do art. 878 da CLT. Assim, irrelevante que a determinação de bloqueio da conta corrente do executado tenha ou não sido requerida pela parte exeqüente.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2026-10-16T16:14:11.639Z</dcterms:created>
  <dcterms:modified xsi:type="dcterms:W3CDTF">2026-10-16T16:14:11.639Z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