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22/08/1977</w:t>
      </w:r>
    </w:p>
    <w:p/>
    <w:p>
      <w:r>
        <w:t xml:space="preserve">PAGAMENTO — NECESSIDADE DE QUE CONSTE DO RECIBO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que deu seguimento à revista ressalta que não consta procuração dos advogados do recorrente, mas também que um deles acompanhou o processo desde a audiência inaugural. Por isso entendo configurado o mandado tácito. - Conheço do recurso, pela divergência demonstrada... - Estando consagrado o direito do empregado comissionista ao repouso semanal remunerado, o inerente pagamento deve constar especificamente, no recibo de quitação, a fim de não se confundir com o percentual das comissões, e, em conseqüência, evitar a caracterização do salário compressivo, que sempre causará dúvidas, frente à possibilidade de ocorrência de engano, erro ou fraude. - Por isso, nego provimento ao recurso. Proc. TST-RR-5.152/76. Julgado em 23-08-1977. VENCIDO O MINISTRO FERNANDO FRANCO Arquivo do Ementário Forense. TST/482.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 repouso semanal remunerado ao empregado comissionista deve constar especificamente no recibo de quitação, a fim de não se confundir com o porcentual das comissões.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2026-10-16T17:23:43.559Z</dcterms:created>
  <dcterms:modified xsi:type="dcterms:W3CDTF">2026-10-16T17:23:43.559Z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