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re -</w:t>
      </w:r>
    </w:p>
    <w:p>
      <w:r>
        <w:rPr>
          <w:b/>
          <w:bCs/>
        </w:rPr>
        <w:t xml:space="preserve">Tribunal: </w:t>
      </w:r>
      <w:r>
        <w:t xml:space="preserve">TST</w:t>
      </w:r>
    </w:p>
    <w:p/>
    <w:p>
      <w:r>
        <w:t xml:space="preserve">03. ORIENTAÇÃO JURISPRUDENCIAL DA SBDI-1 — ÍNDICE ALFABÉTICO
      Iterativa - Notória - Atual: Súmula nº 333</w:t>
      </w:r>
    </w:p>
    <w:p/>
    <w:p>
      <w:pPr>
        <w:pStyle w:val="Heading2"/>
      </w:pPr>
      <w:r>
        <w:rPr>
          <w:b/>
          <w:bCs/>
        </w:rPr>
        <w:t xml:space="preserve">Ementa</w:t>
      </w:r>
    </w:p>
    <w:p>
      <w:r>
        <w:t xml:space="preserve">Nº 151 PREQUESTIONAMENTO. DECISÃO REGIONAL QUE ADOTA A SENTENÇA. AUSÊNCIA DE PREQUESTIONAMENTO. Inserida em 27.11.98 Decisão regional que simplesmente adota os fundamentos da decisão de primeiro grau não preenche a exigência do prequestionamento, tal como previsto na Súmula nº 297. Nº 152 REVELIA. PESSOA JURÍDICA DE DIREITO PÚBLICO. APLICÁVEL. (ART. 844 DA CLT). Inserida em 27.11.98 (inserido dispositivo, DJ 20.04.2005) Pessoa jurídica de direito público sujeita-se à revelia prevista no artigo 844 da CLT. Nº 153 ADICIONAL DE INSALUBRIDADE. DEFICIÊNCIA DE ILUMINAMENTO. LIMITAÇÃO. Inserida em 26.03.1999 (Convertida na Orientação Jurisprudencial Transitória nº 57 da SBDI-1) Somente após 26.02.1991 foram, efetivamente, retiradas do mundo jurídico as normas ensejadoras do direito ao adicional de insalubridade por iluminamento insuficiente no local da prestação de serviço, como previsto na Portaria nº 3751/1990 do Ministério do Trabalho. Nº 154 ATESTADO MÉDICO - INSS. EXIGÊNCIA PREVISTA EM INSTRUMENTO NORMATIVO. (nova redação, DJ 20.04.2005) A doença profissional deve ser atestada por médico do INSS, se tal exigência consta de cláusula de instrumento normativo, sob pena de não reconhecimento do direito à estabilidade. Histórico Redação original: 154. Atestado médico - INAMPS. Exigência prevista em instrumento normativo. Inserida em 26.03.99 A doença profissional deve ser atestada por médico do INAMPS, quando tal exigência está prevista em cláusula de convenção coletiva ou de decisão normativa. Neste caso, a ausência do atestado importa o não reconhecimento do direito à estabilidade. Nº 155 BANRISUL. COMPLEMENTAÇÃO DE APOSENTADORIA. Inserida em 26.03.99 (Convertida na Orientação Jurisprudencial Transitória nº 40 da SBDI-1, DJ 20.04.2005) A Resolução nº 1.600/1964, vigente à época da admissão do empregado, incorporou-se ao contrato de trabalho, pelo que sua alteração não poderá prejudicar o direito adquirido, mesmo em virtude da edição da Le i nº 6.435/77. Incidência das Súmulas nºs 51 e 288. Nº 156 COMPLEMENTAÇÃO DE APOSENTADORIA. DIFERENÇAS. PRESCRIÇÃO. Inserida em 26.03.99 Ocorre a prescrição total quanto a diferenças de complementação de aposentadoria quando estas decorrem de pretenso direito a verbas não recebidas no curso da relação de emprego e já atingidas pela prescrição, à época da propositura da ação. Nº 157 COMPLEMENTAÇÃO DE APOSENTADORIA. FUNDAÇÃO CLEMENTE DE FARIA. BANCO REAL. Inserida em 26.03.99 (Convertida na Orientação Jurisprudencial Transitória nº 41 da SBDI-1, DJ 20.04.2005) É válida a cláusula do Estatuto da Fundação que condicionou o direito à complementação de aposentadoria à existência de recursos financeiros, e também previa a suspensão, temporária ou definitiva, da referida complementação. Nº 158 CUSTAS. COMPROVAÇÃO DE RECOLHIMENTO. DARF ELETRÔNICO. VALIDADE. Inserida em 26.03.99 O denominado "DARF ELETRÔNICO" é válido para comprovar o recolhimento de custas por entidades da administração pública federal, emitido conforme a IN-SRF 162, de 04.11.88. Nº 159 DATA DE PAGAMENTO. SALÁRIOS. ALTERAÇÃO. Inserida em 26.03.99 Diante da inexistência de previsão expressa em contrato ou em instrumento normativo, a alteração de data de pagamento pelo empregador não viola o art. 468, desde que observado o parágrafo único, do art. 459, ambos da CLT. Nº 160 DESCONTOS SALARIAIS. AUTORIZAÇÃO NO ATO DA ADMISSÃO. VALIDADE. Inserida em 26.03.99 É inválida a presunção de vício de consentimento resultante do fato de ter o empregado anuído expressamente com descontos salariais na oportunidade da admissão. É de se exigir demonstração concreta do vício de vontade. Nº 161 FERIADO LOCAL. PRAZO RECURSAL. PRORROGAÇÃO. COMPROVAÇÃO. NECESSIDADE. Inserida em 26.03.99 (Convertida na Súmula nº 385, DJ 20.04.2005) Cabe à parte comprovar, quando da interposição do recurso, a existência de feriado local que justifique a prorrogação do prazo recursal. Nº 162 MULTA. ART. 477 DA CLT . CONTAGEM DO PRAZO. APLICÁVEL O ART. 132 DO CÓDIGO CIVIL DE 2002. (atualizada a legislação e inserido dispositivo, DJ 20.04.2005) A contagem do prazo para quitação das verbas decorrentes da rescisão contratual prevista no artigo 477 da CLT exclui necessariamente o dia da notificação da demissão e inclui o dia do vencimento, em obediência ao disposto no artigo 132 do Código Civil de 2002 (artigo 125 do Código Civil de 1916). Histórico Redação original: 162. Multa. Art. 477 da CLT. Contagem do prazo. Aplicável o art. 125 do Código Civil. Inserida em 26.03.99 Nº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2026-07-28T01:24:10.093Z</dcterms:created>
  <dcterms:modified xsi:type="dcterms:W3CDTF">2026-07-28T01:24:10.093Z</dcterms:modified>
</cp:coreProperties>
</file>

<file path=docProps/custom.xml><?xml version="1.0" encoding="utf-8"?>
<Properties xmlns="http://schemas.openxmlformats.org/officeDocument/2006/custom-properties" xmlns:vt="http://schemas.openxmlformats.org/officeDocument/2006/docPropsVTypes"/>
</file>