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Julgado em: </w:t>
      </w:r>
      <w:r>
        <w:t xml:space="preserve">25/08/2004</w:t>
      </w:r>
    </w:p>
    <w:p/>
    <w:p>
      <w:r>
        <w:t xml:space="preserve">HORAS EXTRAS "IN ITINERE" — COMPLEXOS INDUSTRIAIS - TRANSPORTE INTERNO - NÃO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Grandes complexos empresariais - hipótese em julgamento - ao concederem aos trabalhadores, próprios ou de terceiras empresas, caso do Autor, está, simplesmente, proporcionando segurança e conforto. Até porque, não indo com o veículo ofertado, teria de ir caminhando, ou seja, evidentemente despenderia até mesmo um tempo maior no percurso. O empregador está evitando, assim, uma série de transtornos, assegurando a ordem no local de trabalho e mesmo protegendo o obreiro de algum desvio de percurso que pode resultar em risco de morte, ou danos pessoais. - Nada a reformar. - É o meu voto. Julgado em 26-08-2004. Acórdão 20040457863. DOESP de 14-09-2004 Arquivo do EMFOR, TRT/N 6691 EMENTÁRIO FORENSE. Junho, 2006. Ano LVIII. Nº 691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transporte interno em grandes complexos industriais se constitui em fator de segurança e conforto do trabalhador. Não traz a paga de horas extras " in itinere".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2026-10-26T05:57:12.868Z</dcterms:created>
  <dcterms:modified xsi:type="dcterms:W3CDTF">2026-10-26T05:57:12.868Z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