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09/11/1977</w:t>
      </w:r>
    </w:p>
    <w:p/>
    <w:p>
      <w:r>
        <w:t xml:space="preserve">QUANDO NÃO SE JUSTIFICA EM FACE DA EXTINÇÃO DA FUNÇÃO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Meritoriamente, "data venia", de S. Exa. o relator, dou provimento ao recurso. - Desde a admissão como escriturários por mais de 15 anos, recebiam gratificação de função de mecanógrafos e embora justificada a extinção da função face a implantação do serviço de computação eletrônica, irregular é a supressão da gratificação já incorporada ao salário pelo decurso do tempo. - Dou assim provimento ao recurso para tornar subsistente a sentença de primeira instância. Proc. TST-RR-1.237/77. Julgado em 10-11-1977. VENCIDO O MINISTRO FERNANDO FRANCO Arquivo do Ementário Forense, TST/582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justa a extinção da função, impossível entretanto a supressão do pagamento da gratificação recebida por mais de 15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2026-10-26T02:40:48.352Z</dcterms:created>
  <dcterms:modified xsi:type="dcterms:W3CDTF">2026-10-26T02:40:48.352Z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