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09/11/1977</w:t>
      </w:r>
    </w:p>
    <w:p/>
    <w:p>
      <w:r>
        <w:t xml:space="preserve">QUANDO NÃO SE JUSTIFICA EM FACE DA EXTINÇÃO DA FUNÇÃO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Meritoriamente, "data venia", de S. Exa. o relator, dou provimento ao recurso. - Desde a admissão como escriturários por mais de 15 anos, recebiam gratificação de função de mecanógrafos e embora justificada a extinção da função face a implantação do serviço de computação eletrônica, irregular é a supressão da gratificação já incorporada ao salário pelo decurso do tempo. - Dou assim provimento ao recurso para tornar subsistente a sentença de primeira instância. Proc. TST-RR-1.237/77. Julgado em 10-11-1977. VENCIDO O MINISTRO FERNANDO FRANCO Arquivo do Ementário Forense, TST/582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justa a extinção da função, impossível entretanto a supressão do pagamento da gratificação recebida por mais de 15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2026-07-28T00:21:20.515Z</dcterms:created>
  <dcterms:modified xsi:type="dcterms:W3CDTF">2026-07-28T00:21:20.515Z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