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26/09/1977</w:t>
      </w:r>
    </w:p>
    <w:p/>
    <w:p>
      <w:r>
        <w:t xml:space="preserve">DESCANSO ENTRE CADA UMA — SE ESTÁ A EMPRESA OBRIGADA A CONCEDER A SOMA DOS RESPECTIVOS PERÍODOS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Correto o entendimento do Regional "a quo". É que os artigos 66 e 67 da CLT não devem ser interpretados conjuntamente e sim, de forma separada. Ademais, a Lei 605/49 não determina que o período para descanso semanal seja a soma daqueles dispositivos consolidados, mas tão somente horas semanais. - Por outro lado, os dispositivos mencionados (artigos 66 e 67 da CLT regulam períodos diversos de descando que não podem ser somanos porque absolutamente distintos um do outro. Um refere-se ao intervalo entre dias de trabalho e o outro, entre semanas de trabalho). - A empresa, quando muito, está passiva de pena administrativa por infringência àqueles artigos e disso não pode se beneficiar o empregado porque não há dispositivo legal que ampare sua pretensão. - Ante o exposto, nego provimento ao recurso de revista. Proc. TST-RR-2.601/77. Julgado em 27-09-1977. Arquivo do Ementário Forense, TST/585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não está obrigada a conceder, para descanso semanal, a soma dos períodos regulados pelos artigos 66 e 67 da Consolidação das Leis do Trabalho, porque diversos um do outro.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2026-07-28T04:17:07.736Z</dcterms:created>
  <dcterms:modified xsi:type="dcterms:W3CDTF">2026-07-28T04:17:07.736Z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