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11/04/1977</w:t>
      </w:r>
    </w:p>
    <w:p/>
    <w:p>
      <w:r>
        <w:t xml:space="preserve">QUANDO INTEGRAM O SEU CÁLCULO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valor das horas extras constitui salário, pois é contraprestação do trabalho efetuado. Integra, assim, o cálculo do aviso prévio, provada a prestação daquela sobrejornada com habitualidade. Proc. TST-RR-4.617/76. Julgado em 12-04-1977. VENCIDO O MINISTRO FERNANDO FRANCO. Arquivo do Ementário Forense, TST/545. EMENTÁRIO FORENSE. Maio, 1978. Ano XXX. Nº 354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Horas extras habituais integram o cálculo do aviso prévio.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2026-07-28T04:23:32.755Z</dcterms:created>
  <dcterms:modified xsi:type="dcterms:W3CDTF">2026-07-28T04:23:32.755Z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