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06/11/1977</w:t>
      </w:r>
    </w:p>
    <w:p/>
    <w:p>
      <w:r>
        <w:t xml:space="preserve">CAIXA — SE EXERCE CARGO DE CONFIANÇA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divergências. - O bancário comissionado que recebe um terço de acréscimo salarial não ocupa, só por isso, cargo de confiança. Como exceção à norma geral da duração da jornada de trabalho, não se pode conceituar o cargo de confiança com liberalidade. Este deverá sempre preencher requisitos suficientemente relevantes, quanto à pauta de atividades, de modo a comprometer diretamente a própria gestão empresarial. - Isto posto acolho parcialmente os embargos para restabelecer o v. aresto regional apenas quanto a hora trabalhada, eis que paga pela gratificação, sendo devido apenas o adicional correspondente. Proc. TST-E-RR-305/76. Julgado em 07-11-1977. VENCIDOS OS MINISTROS HILDEBRANDO BISAGLIA, BARATA SILVA, ARY CAMPISTA, ORLANDO COUTINHO, ALVES DE ALMEIDA E JUIZ PEREIRA LEITE. Arquivo do Ementário Forense, TST/556.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cargo de caixa de banco ser de confiança e suportar a jornada exceptiva prevista em lei, não basta que haja manuseio de numerário, mas deve ele dispor de poderes tão amplos que possam comprometer a própria gestão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2026-07-28T01:28:33.419Z</dcterms:created>
  <dcterms:modified xsi:type="dcterms:W3CDTF">2026-07-28T01:28:33.419Z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