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HORAS EXTRAORDINÁRIAS</w:t>
      </w:r>
    </w:p>
    <w:p>
      <w:r>
        <w:rPr>
          <w:i/>
          <w:iCs/>
          <w:color w:val="666666"/>
        </w:rPr>
        <w:t xml:space="preserve">HABITUALIDADE DA PRESTAÇÃO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12/09/1977</w:t>
      </w:r>
    </w:p>
    <w:p/>
    <w:p>
      <w:r>
        <w:t xml:space="preserve">SE PERDE A VANTAGEM REMUNERATÓRIA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Conheço do recurso, com amparo no acórdão apontado... que afirma ser o conceito de cargo de confiança o estabelecido na alínea C do artigo 62 da Consolidação das Leis do Trabalho ao invés daquele inserto no artigo 224, parágrafo 2º., do mesmo Estatuto, ao contrário do proclamado pelo v. acórdão recorrido. - Mas lhe nego provimento. - O conceito de cargo de confiança, para efeito de jornada reduzida de trabalho, no caso dos bancários, está consubstanciada no parágrafo 2º. do artigo 224 da CLT. - Não se pede, aqui, horas extras, mas restabelecimento de "comissão" suprimida pelo retorno ao cargo efetivo. - Entendo caracterizado o cargo de confiança e devida a comissão somente durante o seu exercício. - Assim, indevido o pagamento do valor da referida comissão, ao voltar o empregado ao cargo efetivo, demissível que é "ad-nutum" do cargo de chefia, incluído no parágrafo 2º. do artigo 224 da Consolidação. - Conheceram do recurso, mas negaram-lhe provimento. Proc. TST-RR-4.286/75. Julgado em 13-09-1977. VENCIDOS OS MINISTROS RAYMUNDO DE SOUZA MOURA E ALVES DE ALMEIDA. Arquivo do Ementário Forense, TST/535. EMENTÁRIO FORENSE. Maio, 1978. Ano XXX. Nº 354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reversão do empregado ao cargo efetivo torna indevida a comissão então percebida.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2026-07-28T04:25:08.308Z</dcterms:created>
  <dcterms:modified xsi:type="dcterms:W3CDTF">2026-07-28T04:25:08.308Z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