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06/06/1977</w:t>
      </w:r>
    </w:p>
    <w:p/>
    <w:p>
      <w:r>
        <w:t xml:space="preserve">MANIFESTAÇÃO DE INTERESSE POR PARTE DESTA — CESSAÇÃO DA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por violação do parágrafo 2º. do artigo 125 da CF. - Se a empresa foi incorporada ao patrimônio da União e esta manifesta seu interesse no feito é de se admitir a assistência e, conseqüentemente, cessa a competência da Justiça do Trabalho para apreciar e decidir sobre o litígio. - Acolho a preliminar de incompetência, cassando o acórdão regional, remetendo os autos à Justiça Federal, como requerido pela União. Proc. TST-RR-3.547/75. Julgado em 07-06-1977. VENCIDO O MINISTRO ALVES DE ALMEIDA. Arquivo do Ementário Forense, TST/538.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competente a Justiça do trabalho para julgar os feitos de que é parte empresa incorporada ao patrimônio da União, quando esta manifesta seu interesse.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2026-07-28T01:25:03.719Z</dcterms:created>
  <dcterms:modified xsi:type="dcterms:W3CDTF">2026-07-28T01:25:03.719Z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