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HORAS EXTRAORDINÁRIAS</w:t>
      </w:r>
    </w:p>
    <w:p>
      <w:r>
        <w:rPr>
          <w:i/>
          <w:iCs/>
          <w:color w:val="666666"/>
        </w:rPr>
        <w:t xml:space="preserve">HABITUALIDADE DA PRESTAÇÃO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>
      <w:r>
        <w:rPr>
          <w:b/>
          <w:bCs/>
        </w:rPr>
        <w:t xml:space="preserve">Julgado em: </w:t>
      </w:r>
      <w:r>
        <w:t xml:space="preserve">19/10/1971</w:t>
      </w:r>
    </w:p>
    <w:p/>
    <w:p>
      <w:r>
        <w:t xml:space="preserve">PRESTAÇÃO HABITUAL — SE A IMPEDE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As duas horas extras foram contratadas por escrito e por período determinado. Havia, porém, mais quatro horas suplementares, ajustadas tacitamente. Entendeu o Regional que não poderia o empregador suprimi-las. - Tenho sustentado que aquilo, por lei, de natureza extraordinária não se transmuda em ordinária pelo passar do tempo, ou pela chamada "habitualidade". E o horário máximo é norma de interesse público, insculpida na Constituição Federal, que não pode ser imposta pelo Juiz, além desse limite. - Por outro lado, reduzir o teto da jornada ao máximo legal, fazendo persistir o mesmo salário, será majorar a este, o que a Constituição e a CLT só permitem em ação coletiva, quando a J. do Trabalho usa do seu poder normativo. - Dou provimento, em parte, ao recurso para excluir da condenação a determinação do restabelecimento e da paga do trabalho suplementar. Proc, TST-RR-3.397/77. Julgado em 20-10-1971. VENCIDOS OS MINISTROS ARY CAMPISTA E BARATA SILVA. Arquivo do Ementário Forense, TST/569. EMENTÁRIO FORENSE. Maio, 1978. Ano XXX. Nº 354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que, por lei, tem natureza extraordinária, não se transmuda em ordinária pelo passar do tempo (habitualidade).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2026-10-16T16:11:00.027Z</dcterms:created>
  <dcterms:modified xsi:type="dcterms:W3CDTF">2026-10-16T16:11:00.027Z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