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10/10/1977</w:t>
      </w:r>
    </w:p>
    <w:p/>
    <w:p>
      <w:r>
        <w:t xml:space="preserve">QUANDO TAL DIREITO RESULTA DO REGULAMENTO DA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firme a jurisprudência do TST, no sentido de que se computa o tempo trabalhado pelo empregado, admitido sob a égide da Lei nº. 1.890/53, para efeito da concessão de licença-prêmio pela demandada. - Por outro lado, não corre a prescrição de direito que, por força do Regulamento Interno empresarial, pode ser gozado a qualquer tempo. Cabendo ao empregado, conforme o regulamento, manifestar a vontade de converter a licença-prêmio em dinheiro, não pode a empresa negar-lhe o exercício de tal direito, assim estejam preenchidas as condições de sua aquisição, não importando sob que regime jurídico o tempo de serviço foi prestado ao empregador. - Dou provimento à revista para, reformando o acórdão regional recorrido, restabelecer a sentença de primeiro grau. Proc. TST-RR-2.439/77. Julgado em 11-10-1977. Arquivo do Ementário Forense, TST/563.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empregado, conforme o regulamento, tem o direito de optar pelo gozo da licença-prêmio em dinheiro. Se preenche as condições de aquisição de tal direito e manifesta a sua vontade de forma inequívoca, não pode a empresa negar-lhe a pretensão. Não importa se o tempo do serviço foi prestado anteriormente sob a égide da Lei 1.890/53.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2026-10-16T17:23:09.827Z</dcterms:created>
  <dcterms:modified xsi:type="dcterms:W3CDTF">2026-10-16T17:23:09.827Z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