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10/10/1977</w:t>
      </w:r>
    </w:p>
    <w:p/>
    <w:p>
      <w:r>
        <w:t xml:space="preserve">QUANDO TAL DIREITO RESULTA DO REGULAMENTO DA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firme a jurisprudência do TST, no sentido de que se computa o tempo trabalhado pelo empregado, admitido sob a égide da Lei nº. 1.890/53, para efeito da concessão de licença-prêmio pela demandada. - Por outro lado, não corre a prescrição de direito que, por força do Regulamento Interno empresarial, pode ser gozado a qualquer tempo. Cabendo ao empregado, conforme o regulamento, manifestar a vontade de converter a licença-prêmio em dinheiro, não pode a empresa negar-lhe o exercício de tal direito, assim estejam preenchidas as condições de sua aquisição, não importando sob que regime jurídico o tempo de serviço foi prestado ao empregador. - Dou provimento à revista para, reformando o acórdão regional recorrido, restabelecer a sentença de primeiro grau. Proc. TST-RR-2.439/77. Julgado em 11-10-1977. Arquivo do Ementário Forense, TST/563.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empregado, conforme o regulamento, tem o direito de optar pelo gozo da licença-prêmio em dinheiro. Se preenche as condições de aquisição de tal direito e manifesta a sua vontade de forma inequívoca, não pode a empresa negar-lhe a pretensão. Não importa se o tempo do serviço foi prestado anteriormente sob a égide da Lei 1.890/53.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2026-07-28T04:26:19.626Z</dcterms:created>
  <dcterms:modified xsi:type="dcterms:W3CDTF">2026-07-28T04:26:19.626Z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