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12/09/1977</w:t>
      </w:r>
    </w:p>
    <w:p/>
    <w:p>
      <w:r>
        <w:t xml:space="preserve">PAGAMENTO PELA FUNDAÇÃO PETROS — EXONERAÇÃO DA PRIMEIRA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recurso, no tocante à prescrição. Conforme acentuado no v. acórdão regional, o prazo prescricional só começa a fluir da data em que surge a pretensão do titular de ver cumprida a prestação. - Conheço, porém, nos demais aspectos discutidos, face à divergência jurisprudencial apontada... - No mérito, merece provimento a revista, de acordo com orientação jurisprudencial deste Tribunal. - A PETROS substituiu a PETROBRAS nas obrigações previdenciárias a que se obrigara, sendo criado para este fim específico. - Dou provimento parcial ao recurso, assegurando à Autora diferença, se houver, entre o que era assegurado pela PETROBRÁS e o recebido da PETROS. Proc. TST-RR-5.181/76. Julgado em 13-09-1977. Arquivo do Ementário Forense, TST/541.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entidade PETROS substituiu a PETROBRAS nas obrigações previdenciárias especiais a que se obrigara, descabe pretender duplo pagamento do pecúlio e sim a diferença em valor, se houver, entre o valor devido pela empresa e aquele pago pela PETROS.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2026-10-16T16:13:49.533Z</dcterms:created>
  <dcterms:modified xsi:type="dcterms:W3CDTF">2026-10-16T16:13:49.533Z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