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12/09/1977</w:t>
      </w:r>
    </w:p>
    <w:p/>
    <w:p>
      <w:r>
        <w:t xml:space="preserve">PAGAMENTO PELA FUNDAÇÃO PETROS — EXONERAÇÃO DA PRIMEIRA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recurso, no tocante à prescrição. Conforme acentuado no v. acórdão regional, o prazo prescricional só começa a fluir da data em que surge a pretensão do titular de ver cumprida a prestação. - Conheço, porém, nos demais aspectos discutidos, face à divergência jurisprudencial apontada... - No mérito, merece provimento a revista, de acordo com orientação jurisprudencial deste Tribunal. - A PETROS substituiu a PETROBRAS nas obrigações previdenciárias a que se obrigara, sendo criado para este fim específico. - Dou provimento parcial ao recurso, assegurando à Autora diferença, se houver, entre o que era assegurado pela PETROBRÁS e o recebido da PETROS. Proc. TST-RR-5.181/76. Julgado em 13-09-1977. Arquivo do Ementário Forense, TST/541.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entidade PETROS substituiu a PETROBRAS nas obrigações previdenciárias especiais a que se obrigara, descabe pretender duplo pagamento do pecúlio e sim a diferença em valor, se houver, entre o valor devido pela empresa e aquele pago pela PETROS.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2026-07-28T01:52:18.910Z</dcterms:created>
  <dcterms:modified xsi:type="dcterms:W3CDTF">2026-07-28T01:52:18.910Z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