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FUNDO DE AMPARO AO TRABALHADOR-FAT</w:t>
      </w:r>
    </w:p>
    <w:p>
      <w:r>
        <w:rPr>
          <w:i/>
          <w:iCs/>
          <w:color w:val="666666"/>
        </w:rPr>
        <w:t xml:space="preserve">LEI 9.322 DE 05-12-1996</w:t>
      </w:r>
    </w:p>
    <w:p/>
    <w:p/>
    <w:p>
      <w:r>
        <w:t xml:space="preserve">ARTS. 9º E 2º DAS LEIS 8.036/90 E 8.844/94 — DÁ NOVA REDAÇÃO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9.467, DE 10 DE JULHO DE 1997 Dá nova redação aos arts. 9º da Lei nº 8.036, de 11 de maio de, 1990 e 2º da Lei nº 8.844, de 20 de janeiro de 1994. Faço saber que o Presidente da República adotou a Medida Provisória nº 1.478-25, de 1997, que o Congresso Nacional aprovou, e eu, Antonio Carlos Magalhães, Presidente, para os efeitos do disposto no parágrafo único do art. 62 da Constituição Federal, promulgo a seguinte Lei: Art. 1º O art. 9º da Lei nº 8.036, de 11 de maio de 1990, passa a vigorar com a seguinte redação: “Art. 9º As aplicações com recursos do FGTS poderão ser realizadas diretamente pela Caixa Econômica Federal, pelos demais órgãos integrantes do Sistema Financeiro da Habitação - SFH e pelas entidades para esse fim credenciadas pelo Banco Central do Brasil como agentes financeiros, exclusivamente segundo critérios fixados pelo Conselho Curador do FGTS, em operações que preencham os seguintes requisitos: I - Garantias a) hipotecária; b) caução de Créditos hipotecários próprios, relativos a financiamentos concedidos com recursos do agente financeiro; c) caução dos créditos hipotecários vinculados aos imóveis objeto de financiamento; d) hipoteca sobre outros imóveis de propriedade do agente financeiro, desde que livres e desembaraçados de quaisquer ônus; e) cessão de créditos do agente financeiro, derivados de financiamentos concedidos com recursos próprios, garantidos por penhor ou hipoteca; f) hipoteca sobre imóvel de propriedade de terceiros; g) seguro de crédito; h) garantia real ou vinculação de receitas, inclusive tarifárias, nas aplicações contratadas com pessoa jurídica de direito público ou de direito privado a ela vinculada; i) aval em nota promissória; j) fiança pessoal; l) alienação fiduciária de bens móveis em garantia; m) fiança bancária; n) outras, a critério do Conselho Curador do FGTS; ......................................................................... § 5º A s garantias, nas diversas modalidades discriminadas no inciso I do caput deste artigo, serão admitidas singular ou supletivamente, considerada a suficiência de cobertura para os empréstimos e financiamentos concedidos:” Art. 2º o art. 2º da Lei nº 8.844, de 20 de janeiro 1994, passa a vigorar com a seguinte redação: “Art. 2º Compete à Procuradoria-Geral da Fazenda Nacional a inscrição em Dívida Ativa dos débitos para com o Fundo de Garantia do Tempo de serviço - FGTS, bem como, diretamente ou por intermédio da Caixa Econômica Federal, mediante convênio, a representação Judicial e extrajudicial do FGTS, para a correspondente cobrança, relativamente à contribuição e às multas e demais encargos previstos na legislação respectiva. § 1º O Fundo de Garantia do Tempo de Serviço fica isento de custas nos processos judiciais de cobrança de seus créditos. § 2º As despesas, inclusive as de sucumbência, que vierem a ser incorridas pela Procuradoria-Geral da Fazenda Nacional e pela Caixa Econômica Federal, para a realização da inscrição em Dívida Ativa, do ajuizamento e do controle e acompanhamento dos processos judiciais, serão efetuadas a débito do Fundo de Garantia do Tempo de Serviço. § 3º Os créditos relativos ao FGTS gozam dos mesmos privilégios atribuídos aos créditos trabalhistas. § 4º Na cobrança judicial dos créditos do FGTS, incidirá um encargo de vinte por cento, que reverterá para o Fundo, para ressarcimento dos custos por ele incorridos, o qual será reduzido para dez por cento, se o pagamento se der antes do ajuizamento da cobrança.” Art. 3º Ficam convalidados os atos praticados com base na Medida Provisória nº 1.478-24, de 15 de maio de 1997. Art. 4º Esta Lei entra em vigor na data de sua publicação. Congresso Nacional, em 10 de julho de 1997; 176º da Independência e 109º da República. Senador ANTONIO CARLOS MAGALHÃES Presidente do Congresso Nacional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2026-06-17T13:59:55.889Z</dcterms:created>
  <dcterms:modified xsi:type="dcterms:W3CDTF">2026-06-17T13:59:55.889Z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