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17/10/1977</w:t>
      </w:r>
    </w:p>
    <w:p/>
    <w:p>
      <w:r>
        <w:t xml:space="preserve">CLÁUSULA QUE O ESTIPULA APÓS 24 MESES DE FUNÇÃO — SE É LÍCITA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a empresa, como cláusula de contrato de trabalho... o princípio de reajustar os salários dos empregados, após 24 meses de exercício na função, no valor do "salário imediato da tabela em vigor". - O ora reclamante só teria direito ao salário majorado um mês após o ajuizamento da ação, quando se equipararia ao paradigma, possuidor de quatro anos de serviço. - Daí, porque, no acórdão embargado, dizia-se despicienda a discussão em torno do ônus da prova, pois o fulcro da questão residia naquele fato já explicitado. - Entendemos lícito o procedimento empresarial, que se funda em cláusula expressa do contrato de trabalho, de reajustamentos bianuais, que não ofende o artigo 461 da Consolidação das Leis do Trabalho. Proc. TST-RR-4.960/75. Julgado em 18-10-1977. VENCIDOS OS MINISTROS LIMA TEIXEIRA E ALVES DE ALMEIDA. Arquivo do Ementário Forense, TST/536.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Constituindo critério benéfico para o empregado, é lícita a cláusula que estipula reajustamento salarial após 24 meses de exercício na função.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2026-10-16T16:08:45.986Z</dcterms:created>
  <dcterms:modified xsi:type="dcterms:W3CDTF">2026-10-16T16:08:45.986Z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