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TRABALHO EM PAÍS ESTRANGEIRO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09/10/2003</w:t>
      </w:r>
    </w:p>
    <w:p/>
    <w:p>
      <w:r>
        <w:t xml:space="preserve">DIFERENÇA DA MULTA DE 40% — RESPONSABILIDADE PELO PAGAMENTO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reclamada pugnou pela exclusão da condenação de primeiro grau da multa de 40% do FGTS, ao fundamento de que aludido direito estaria fulminado pela prescrição bienal (decadência), já que os autores teriam sido demitidos há mais de cinco anos, e, ainda que se contasse o prazo após a decisão do STF, a prescrição (decadência) teria ocorrido no dia 14/10/02. Requereu a inversão do ônus da sucumbência, ao fundamento de que não estariam preenchidos os requisitos da Lei nº 1.060/50 e 7.115/83 c/c art. 789, § 10, da CLT. - Inicialmente, adota-se o mesmo esclarecimento acerca do prazo de 02 (dois) anos para propositura da ação, que deve ser entendido como sendo decadencial e não prescricional, conforme acima fundamentado. - Relativamente ao pedido de pagamento de diferença de depósito de FGTS na conta vinculada dos autores, operou-se a decadência, nos termos da fundamentação supra. No entanto, a parcela deferida pelo Juízo de primeiro grau limitou-se à multa de 40% sobre o FGTS, atinente aos expurgos inflacionários levantados pelos autores, conforme determinou a Lei Complementar nº 110, de 29 de junho de 2001. - Antes da publicação da aludida Lei Complementar nº 110/01 era controvertida a matéria, se cabia ou a quem cabia a obrigação de repor diferenças de FGTS decorrentes dos planos verão e Collor nos meses de fevereiro/89 e março/90. - Ressalte-se que embora o juízo de primeiro grau tenha efetuado a contagem do prazo decadencial a partir da data de publicação da decisão do STF, 13.10.00, que reconheceu o direito à percepção dos expurgos inflacionários a serem depositados pelo Órgão Gestor nas contas vinculadas, o fato é qu e foi a Lei Complementar nº 110/01 antes mencionada, que regulamentou a questão no sentido de que seria a Caixa Econômica Federal quem deveria creditar os aludidos valores ao dispor no art. 4º "verbis": "Art. 4º Fica a Caixa Econômica Federal autorizada a creditar nas contas vinculadas do FGTS, a expensas do próprio Fundo, o complemento de atualização monetária resultante da aplicação, cumulativa, dos percentuais de dezesseis inteiros e sessenta e quatro centésimos por cento e de quarenta e quatro inteiros e oito décimos por cento, sobre os saldos das contas mantidas, respectivamente, no período de 1o de dezembro de 1988 a 28 de fevereiro de 1989 e durante o mês de abril de 1990, desde que: 'omissis'." - Logo, a Lei Complementar nº 110/01 resolveu a controvérsia existente, dispondo que a Caixa Econômica Federal estaria autorizada a creditar o complemento de atualização monetária relativamente aos percentuais dos planos verão e Collor, conforme acima transcrito. - Em princípio, o prazo decadencial poderia ser contado a partir da data da publicação da referida lei, que ocorreu no dia 29 de junho de 2001, entretanto o c. TST tem decidido que o prazo decadencial deve ser computado a partir do reconhecimento do direito e conseqüente depósito das diferenças em conta vinculada do empregado, conforme decisão nos autos do processo n° TST RR-1129-2001-005-24-00.5, da lavra do Exmº. Ministro Milton de Moura França, julgado no dia 05/02/2003, com decisão publicada no DOU de 21/03/2003, jurisprudência inclusive enfocada pelos reclamantes na petição inicial, cujo teor se transcreve "verbis": "DIFERENÇAS DE 40% DE FGTS - PEDIDO COM BASE EM DECISÃO PROFERIDA PELA JUSTIÇA FEDERAL - PRESCRIÇÃO - TERMO INICIAL. Reconhecido o direito à correção monetária, que fora expurgado por planos econômicos, por força de decisão proferida pela Justiça Federal, e, ressalte-se, com o aval até mesmo do Supremo Tribunal Federal, como é público e notório, uma vez que houve ampla divulgação da matéria por todos os meios de comunicação do País, nada mais juridicamente correto de se proclamar que foi a partir do reconhecimento do direito e conseqüente depósito das diferenças em conta do empregado que tem início o prazo prescricional para se reclamar as diferenças de multa de 40% decorrente da injusta rescisão contratual. Data venia, não se revela juridicamente aceitável se pretender que a prescrição tenha seu início com o término do contrato de trabalho, porque, repita-se, o direito surgiu somente com a decisão da Justiça Federal. Não se vislumbra, pois, a mínima possibilidade de violação do art. 7º, XXIX, da Constituição Federal. Recurso de revista não conhecido." - Assim sendo, deve ser adotado o aludido entendimento, computando-se o prazo decadencial a partir do efetivo depósito do complemento de atualização monetária nas contas vinculada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responsabilidade do empregador o pagamento da multa de 40% sobre os depósitos fundiários, a teor do § 1° do artigo 18 da Lei 8.036/90, mesmo em se tratando de diferenças decorrentes dos expurgos inflacionários não repassados na conta vinculada do obreiro.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2026-10-16T17:26:20.362Z</dcterms:created>
  <dcterms:modified xsi:type="dcterms:W3CDTF">2026-10-16T17:26:20.362Z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