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10.097 DE 19-12-2000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11/11/2007</w:t>
      </w:r>
    </w:p>
    <w:p/>
    <w:p>
      <w:r>
        <w:t xml:space="preserve">INSEGURANÇA EM AGÊNCIA BANCÁRIA — QUANDO GERA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Tribunal Regional, instância soberana na apreciação da prova, concluiu por demonstrada a existência de dano moral a empregado, pelo fato de não ter sido cumpridas as regras de segurança bancária, e sendo assim, o assalto ocorrido na agência em que trabalhava a reclamante resultou na perturbação psíquica, intranqüilidade nos sentimentos e no afeto, valores íntimos que repousam a sua personalidade. Essas premissas fáticas não podem ser modificadas, nos moldes da Súmula nº 126 do C. TST. - De forma a corroborar esse entendimento, transcrevo trechos da decisão proferida pelo Eg. Tribunal Regional, em que se verifica aspectos fáticos, que se mostram impossíveis de serem alterados: "A ação civil pública deixou claro que o Banco não observou as disposições contidas na Lei nº 7.102/83, que trata sobre a segurança para estabelecimentos financeiros" (fls.). - A sentença da ação civil pública condenou o requerido na obrigação de instalar um dos seguintes dispositivos de segurança (obrigação alternativa), quais sejam, equipamentos elétricos, eletrônicos e de filmagem que possibilite a identificação de assaltante, ou artefatos que retardem a ação dos criminosos permitindo a sua identificação e captura, ou seja, portas de segurança com dispositivo eletrônico de identificação de metal, ou cabina blindada com permanência ininterrupta de vigilante durante o expediente para o público e enquanto houver movimentação de numerário no interior do estabelecimento (...) (fl.). - A Procuradora do T rabalho em sua manifestação salientou que, como já mencionado nos autos, a propositura de ação civil pública contra o ora réu, com objetivo de obrigá-lo ao cumprimento das normas de segurança bancária (ACP n° 515/98), cuja inobservância constitui o fundamento do recurso da reclamante (dano moral decorrente de assalto). - Colho da prova oral que no segundo assalto ocorrido na agência, no ano de 1998, três bandidos adentraram no Banco e um deles apontando uma arma à autora exigiu que ela abrisse o cofre, decorrido algum tempo eles fugiram, sendo que a reclamante desmaiou e foi levada para o pronto-socorro, e, desde o fato, alterou o remédio de pressão para um mais forte (fls.). - A partir de 1996 ocorreu uma crescente onda de assaltos e, mesmo assim, o Banco não adotou as normas de segurança pr e vistas em Lei (fls.). - Assim, de acordo com o MM. Juízo de origem, restou plenamente demonstrada a perturbação nas relações psíquicas, na tranqüilidade, nos sentimentos e nos afetos de uma pessoa, valores mais íntimos do indivíduo, sobre os quais repousa sua personalidade, em razão de assalto ocorrido em agência bancária, configura-se o dano moral, passível de indenização, tendo em vista que o Banco se omitiu na adoção de medidas de segurança previstas em Lei e já adotadas em outros Bancos do Estado de Santa Catarina (fl.). - Portanto, mantenho a sentença por seus próprios fundamentos, além do mais o valor arbitrado foi de acordo com o dano causado, a condição financeira do réu e a sua responsabilidade de não adotar as normas de segurança (fl.). (fls.) Processo: E-RR - 515/2000-023-12-00 Julgado em 12-11-2007 DJ de 23-11-2007 Arquivo do EMFOR, TST/N 6977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Demonstrada a existência de dano moral à empregado, pelo fato de não ter sido cumpridas as regras de segurança bancária, e sendo assim, o assalto ocorrido na agência em que trabalhava a reclamante resultou na perturbação psíquica, intranqüilidade nos sentimentos e no afeto, valores íntimos que repousam a sua personalidade, configura-se o dano moral, passível de indenização.(Ementa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2026-10-16T16:33:54.866Z</dcterms:created>
  <dcterms:modified xsi:type="dcterms:W3CDTF">2026-10-16T16:33:54.866Z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