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04/09/2007</w:t>
      </w:r>
    </w:p>
    <w:p/>
    <w:p>
      <w:r>
        <w:t xml:space="preserve">INTENÇÃO DE FURTAR — QUANDO NÃO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entendeu não haver justa causa na despedida do reclamante, sintetizando seu entendimento na seguinte ementa: "DEMISSÃO JUSTA CAUSA. Não se configura falta ensejadora da pena máxima (a demissão) ter sido o empregado pego levando material de quantidade insignificante, tido como sobra, sem as características de furto, mas tão somente sem a prévia autorização. Deve a empregadora obedecer a gradação da pena" (fls.). - A reclamada sustenta que o reclamante teve a intenção de furtar material de sua propriedade, sem autorização, ensejando a despedida com justa causa. Afirma que a tentativa de subtração de material, mesmo que de pequeno valor, revelou desonestidade, abalando a confiança necessária para a manutenção do contrato de trabalho. Aponta violação aos art. 482, alínea a, da CLT e transcreve arestos para confronto de teses. - Ante o decidido no acórdão regional, qualquer tentativa de desconstituição do julgado recorrido esbarraria, inequivocamente, em revisão da prova, dada a necessidade de perquirir-se acerca da existência dos motivos ensejadores da justa causa, procedimento que encontra óbice intransponível na Súmula 126 deste Tribunal. NÃO CONHEÇO. Processo: TST-RR-65.484/2002-900-07-00.8 Julgado em 05-09-2007 DJ de 21-09-2007 Arquivo do EMFOR, TST/N 7005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falta ensejadora da pena máxima (a demissão) ter sido o empregado pego levando material de quantidade insignificante, tido como sobra, sem as características de furto, mas tão somente sem a prévia autorização.(Trecho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2026-10-16T18:38:15.063Z</dcterms:created>
  <dcterms:modified xsi:type="dcterms:W3CDTF">2026-10-16T18:38:15.063Z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