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Julgado em: </w:t>
      </w:r>
      <w:r>
        <w:t xml:space="preserve">05/05/2002</w:t>
      </w:r>
    </w:p>
    <w:p/>
    <w:p>
      <w:r>
        <w:t xml:space="preserve">VALIDADE DA FIRMADA PELO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recorrente a reforma da sentença para que lhe sejam deferida diferença salarial. Argumenta, de início que os recibos de pagamento não teria nenhuma valia como prova terem sido assinados em branco. - Alega ainda que por ser menor de 16 anos é absolutamente incapaz e, por isso, não poderia dar recibo e com base no artigo 7º, inciso XXXIII, da CF, só poderia trabalhar na condição de aprendiz, merecendo pois no seu entender, reforma a sentença para que seja deferida a verba pleiteada. - Sem razão. - A Consolidação das Lei do Trabalho em seu artigo 439, faz referência à necessidade de representante legal do menor por ocasião do recebimento das parcelas rescisórias e não de pagamento de salário. - Quanto à alegativa de que os recibos foram assinados em branco, não demonstrou o reclamante/recorrente nenhuma prova neste sentido, limitando-se pura e simplesmente à alegação de que foram preenchidos posteriormente pelo reclamado, inexistindo por seu turno, provas outra, que amparasse a tese albergada pelo recorrente. - A CLT no artigo acima referido, autorizou o menor a celebrar contratos sem a assistência de seu representante legal, só havendo a necessidade de intervenção de seu responsável quando da quitação de parcelas oriundas da rescisão do contrato de emprego, como dito. - Destarte, não havendo a ocorrência de provas que sustentassem a tese abraçada pelo reclamante/recorrente ou que demonstrassem a existência de vício de consentimento quando da quitação do salário, deve ser mantida a sentença de fls., por seus próprios e jurídicos fundamentos. - Isto posto, conheço do recurso ordinário sumaríssimo para no mérito lhe negar provimento, mantendo na íntegra a sentença originária. Julgado em 06-05-2002. Ac. nº 662/02 DJ de 15-05-2002 Arquivo do EMFOR, TRT/N 7461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quitação dada por empregado menor, sem a assistência do seu representante legal, porquanto o art. 439 da CLT limita a assistência ao ato de quitação em decorrência de rescisão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2026-07-28T01:24:47.196Z</dcterms:created>
  <dcterms:modified xsi:type="dcterms:W3CDTF">2026-07-28T01:24:47.196Z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