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INDIVIDUALIZAÇÃO DAS CONTAS</w:t>
      </w:r>
    </w:p>
    <w:p/>
    <w:p/>
    <w:p>
      <w:r>
        <w:t xml:space="preserve">02. NORMAS REGULAMENTARES — CONSOLIDA</w:t>
      </w:r>
    </w:p>
    <w:p/>
    <w:p>
      <w:pPr>
        <w:pStyle w:val="Heading2"/>
      </w:pPr>
      <w:r>
        <w:rPr>
          <w:b/>
          <w:bCs/>
        </w:rPr>
        <w:t xml:space="preserve">Ementa</w:t>
      </w:r>
    </w:p>
    <w:p>
      <w:r>
        <w:t xml:space="preserve">Art. 38. O saldo da conta vinculada do trabalhador que vier a falecer será pago a seu dependente, para esse fim habilitado perante a Previdência Social, independentemente de autorização judicial. § 1° Havendo mais de um dependente habilitado, o pagamento será feito de acordo com os critérios adotados pela Previdência Social para a concessão de pensão por morte. § 2° As quotas atribuídas a menores ficarão depositadas em caderneta de poupança e, salvo autorização judicial, só serão disponíveis após o menor completar dezoito anos. § 3° Na falta de dependentes, farão jus ao recebimento do saldo da conta vinculada os sucessores do trabalhador, na forma prevista no Código Civil, indicados em alvará judicial, expedido a requerimento do interessado, independentemente de inventário ou arrolamento. Art. 39. O direito de utilizar os recursos creditados em conta vinculada em nome do trabalhador não poderá ser exercido simultaneamente para a aquisição de mais de um imóvel. Art. 40. O imóvel, adquirido com a utilização do FGTS, somente poderá ser objeto de outra operação com recursos do fundo na forma que vier a ser disciplinada pelo Conselho Curador. Art. 41. A solicitação de saque da conta vinculada será atendida no prazo de cinco dias úteis, quando o documento for entregue na agência onde o empregador tenha efetuado o depósito do FGTS. § 1° Compete à CEF expedir instruções fixando prazo para os casos em que a entrega do documento não ocorra na agência mantenedora a conta ou quando o sacador solicitar que o saque seja liberado em outra agência, ou, ainda, quando o sacador optar pelo saque após o crédito de juros e atualização monetária relativos ao mês em que se verificar o pedido. § 2° Decorrido o prazo, sobre o valor do saque incidirá atualização monetária com base nos índices de variação do BTN Fiscal, ou outro que vier a sucedê-lo, ou, ainda, a critério do Conselho Curador, por o utro indicador da inflação diária. § 3º - No caso de valor aplicado em FMP-FGTS, e para os fins previstos nos incisos IV, VI e VII do art. 35, o prazo de cinco dias contar-se-á a partir do retorno do valor resultante da aplicação à conta vinculada e não da data da solicitação. (Incluído pelo Decreto 2.430/97) Art. 42. A movimentação da conta vinculada do FGTS por menor de dezoito anos dependerá da assistência do responsável legal. CAPÍTULO VII Do Certificado de Regularidade Art. 43. A regularidade da situação do empregador perante o FGTS será comprovada pelo Certificado de Regularidade do FGTS, com validade em todo o território nacional, a ser fornecido pela CEF, mediante solicitação. Art. 44. A apresentação do Certificado de Regularidade do FGTS é obrigatória para: I - habilitação em licitação promovida por órgãos da Administração Pública direta, indireta ou fundacional e por empresas controladas direta ou indiretamente pela União, pelos Estados, pelo Distrito Federal e pelos Municípios; II - obtenção de empréstimos ou financiamentos junto a quaisquer instituições financeiras públicas, por parte de órgãos e entidades da Administração Pública direta, indireta ou fundacional, bem assim empresas controladas direta ou indiretamente pela União, pelos Estados, pelo Distrito Federal e pelos Municípios; III - obtenção de favores creditícios, isenções, subsídios, auxílios, outorga ou concessão de serviços ou quaisquer outros benefícios concedidos por órgão da Administração Pública Federal, dos Estados, do Distrito Federal e dos Municípios, salvo quando destinados a saldar débitos para com o FGTS; IV - transferência de domicílio para o exterior; e V - registro ou arquivamento, nos órgãos competentes, de alteração ou distrato de contrato social, de estatuto, ou de qualquer documento que implique modificação na estrutura jurídica do empregador ou na extinção da empresa. Art. 45. Par a obter o Certificado de Regularidade, o empregador deverá satisfazer as seguintes condições: I - estar em dia com as obrigações para com o FGTS; e II - estar em dia com o pagamento de prestação de empréstimos lastreados em recursos do FGTS. Art. 46. O Certificado de Regularidade terá validade de até seis meses contados da data da sua emissão. § 1° No caso de parcelamento de débito, a validade será de trinta dias. § 2° Havendo antecipação no pagamento de parcelas, o Certificado terá validade igual ao período correspondente às prestações antecipadas, observado o prazo máximo de seis meses. CAPÍTULO VIII Das Infrações e das Penalidades Art. 47. Constituem infrações à Lei n° 8.036,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2026-07-28T04:17:16.712Z</dcterms:created>
  <dcterms:modified xsi:type="dcterms:W3CDTF">2026-07-28T04:17:16.712Z</dcterms:modified>
</cp:coreProperties>
</file>

<file path=docProps/custom.xml><?xml version="1.0" encoding="utf-8"?>
<Properties xmlns="http://schemas.openxmlformats.org/officeDocument/2006/custom-properties" xmlns:vt="http://schemas.openxmlformats.org/officeDocument/2006/docPropsVTypes"/>
</file>