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REVISÃO CRIMINAL</w:t>
      </w:r>
    </w:p>
    <w:p>
      <w:r>
        <w:rPr>
          <w:i/>
          <w:iCs/>
          <w:color w:val="666666"/>
        </w:rPr>
        <w:t xml:space="preserve">CABIMENTO</w:t>
      </w:r>
    </w:p>
    <w:p/>
    <w:p/>
    <w:p>
      <w:r>
        <w:t xml:space="preserve">KKD €RecordLocksODBCTimeout	
&lt;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) õKÿÿÿÿÅ' `CívelSubtitÕ 5PCriminalSubtitþÿ÷nCriminal KKDF€ ColumnWidth ColumnHidden RecordLocks ODBCTimeout RowHeight, Query1.TITULO É , Query1.SUB_TI ] * Cível.TEXTO [ -Criminal.TEXTO Ó 0Trabalhista.TEXTO 3 , Query2.TITULO 4 , Query2.SUB_TI l )  &lt; I 5ÇÿÿÿÿÅ&amp;vCível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2026-10-26T02:25:23.736Z</dcterms:created>
  <dcterms:modified xsi:type="dcterms:W3CDTF">2026-10-26T02:25:23.736Z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