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GERALDO GAMA SALLES</w:t>
      </w:r>
    </w:p>
    <w:p/>
    <w:p>
      <w:r>
        <w:t xml:space="preserve">ELEMENTOS A SEREM CONSIDERADOS PARA O SEU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houve a ratificação da separação, como já foi frisado, a autora já havia saído do emprego e somente aguardou ser homologado o acordo de separação para, uma semana depois, passar a conviver com seu atual companheiro. - Na época, a autora não demonstrava ter tanta estima pela menor. Sua preocupação era outra. - Não se justifica que a guarda da menor S. seja transferida para sua mãe nas condições atuais, pois a menor convive com seu pai e em companhia de sua avó paterna, recebendo todo o carinho, aliás, desde que nasceu. - A conduta do companheiro da autora não é recomendável, de acordo com os depoimentos constantes nos autos. "Tratando-se de guarda de filho menor, deve atender-se aos interesses da criança e às condições e comportamento dos pretendentes a guarda" (RT 518/111). Guarda de filho menor. Desquite amigável. Se o ambiente familiar em que vive o cônjuge-varão é sadio, física, psíquica e moralmente, não há porque retirar filho menor de sua guarda..." (Ap. civ. nº 14.521, de Tubarão, Rel. Des. GERALDO GAMA SALLES). - Ante todo o exposto, nega-se provimento apelação. Ac. de 10-04-1990 VENCIDO DO DES. NORBERTO UNGARETTI Jurisprudência Catarinense - 1º e 2º Trimestre de 1990 - Vol. 66 - Pág. 194.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guarda de filho menor, deve atender-se aos interesses da criança e às condições e comportamento dos pretendentes à guarda.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2026-09-10T22:41:20.789Z</dcterms:created>
  <dcterms:modified xsi:type="dcterms:W3CDTF">2026-09-10T22:41:20.789Z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