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/>
    <w:p>
      <w:r>
        <w:t xml:space="preserve">REGULA O DIREITO DE ACESSO A INFORMAÇÕES E DISCIPLINA O RITO PROCESSUAL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9.507, DE 12 DE NOVEMBRO DE 1997 Regula o direito de acesso a informações e disciplina o rito processual do "habeas data". O Presidente da República: Faço saber que o Congresso Nacional decreta e eu sanciono a seguinte Lei: Art. 1.º (VETADO) Parágrafo único. Considera-se de caráter público todo registro ou banco de dados contendo informações que sejam ou que possam ser transmitidas a terceiros ou que não sejam de uso privativo do órgão ou entidade produtora ou depositária das informações. Art. 2.º O requerimento será apresentado ao órgão ou entidade depositária do registro ou banco de dados e será deferido ou indeferido no prazo de quarenta e oito horas. Parágrafo único. A decisão será comunicada ao requerente em vinte e quatro horas. Art. 3.º Ao deferir o pedido, o depositário do registro ou do banco de dados marcará dia e hora para que o requerente tome conhecimento das informações. Parágrafo único. (VETADO) Art. 4.º Constatada a inexatidão de qualquer dado a seu respeito, o interessado, em petição acompanhada de documentos comprobatórios, poderá requerer sua retificação. § 1.º Feita a retificação em, no máximo, dez dias após a entrada do requerimento, a entidade ou órgão depositário do registro ou da informação dará ciência ao interessado. § 2.º Ainda que não se constate a inexatidão do dado, se o interessado apresentar explicação ou contestação sobre o mesmo, justificando possível pendência sobre o fato objeto do dado, tal explicação será anotada no cadastro do interessado. Art. 5.º (VETADO) Art. 6.º (VETADO) Art. 7.º Conceder-se-á habeas data: I - para assegurar o conhecimento de informações relativas à pessoa do impetrante, constantes de registro ou banco de dados de entidades governamentais ou de caráter público; II - para a retificação de dados, quando não se prefira fazê-lo por processo sigiloso, judicial ou administrativo; III - para a anotação nos assentamentos do interessado, de contestação ou explicação sobre dado verdadeiro mas justificável e que esteja sob pendência judicial ou amigável. Art. 8.º A petição inicial, que deverá preencher os requisitos dos arts. 282 a 285 do Código de Processo Civil, será apresentada em duas vias, e os documentos que instruírem a primeira serão reproduzidos por cópia na segunda. Parágrafo único. A petição inicial deverá ser instruída com prova: I - da recusa ao acesso às informações ou do decurso de mais de dez dias sem decisão; II - da recusa em fazer-se a retificação ou do decurso de mais de quinze dias, sem decisão; ou III - da recusa em fazer-se a anotação a que se refere o § 2.º do art. 4.º ou do decurso de mais de quinze dias sem decisão. Art. 9.º Ao despachar a inicial, o juiz ordenará que se notifique o coator do conteúdo da petição, entregando-lhe a segunda via apresentada pelo impetrante, com as cópias dos documentos, a fim de que, no prazo de dez dias, preste as informações que julgar necessárias. Art. 10. A inicial será desde logo indeferida, quando não for o caso de habeas data, ou se lhe faltar algum dos requisitos previstos nesta Lei. Parágrafo único. Do despacho de indeferimento caberá recurso previsto no art. 15. Art. 11. Feita a notificação, o serventuário em cujo cartório corra o feito, juntará aos autos cópia autêntica do ofício endereçado ao coator, bem como a prova da sua entrega a este ou da recusa, seja de recebê-lo, seja de dar recibo. Art. 12. Findo o prazo a que se refere o art. 9.º, e ouvido o representante do Ministério Público dentro de cinco dias, os autos serão conclusos ao juiz para decisão a ser proferida em cinco dias. Art. 13. Na decisão, se julgar procedente o pedido, o juiz marcará data e horário para que o coator: I - apresente ao impetrante as informações a seu respeito, constantes de registros ou bancos de dados; ou II - apresente em juízo a prova de retificação ou da anotação feita nos assentamentos do impetrante. Art. 14. A decisão será comunicada ao coator, por correio, com aviso de recebimento, ou por telegrama, radiograma ou telefonema, conforme o requerer o impetrante. Parágrafo único. Os originais, no caso de transmissão telegráfica, radiofônica ou telefônica deverão ser apresentados à agência expedidora, com a firma do juiz devidamente reconhecida. Art. 15. Da sentença que conceder ou negar o habeas data cabe apelação. Parágrafo único. Quando a sentença conceder o habeas data, o recurso terá efeito meramente devolutivo. Art. 16. Quando o habeas data for concedido e o Presidente do Tribunal ao qual competir o conheciment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2026-09-11T06:26:40.224Z</dcterms:created>
  <dcterms:modified xsi:type="dcterms:W3CDTF">2026-09-11T06:26:40.224Z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