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163.248</w:t>
      </w:r>
    </w:p>
    <w:p>
      <w:r>
        <w:rPr>
          <w:b/>
          <w:bCs/>
        </w:rPr>
        <w:t xml:space="preserve">Relator: </w:t>
      </w:r>
      <w:r>
        <w:t xml:space="preserve">JONAS VILHENA</w:t>
      </w:r>
    </w:p>
    <w:p>
      <w:r>
        <w:rPr>
          <w:b/>
          <w:bCs/>
        </w:rPr>
        <w:t xml:space="preserve">Julgado em: </w:t>
      </w:r>
      <w:r>
        <w:t xml:space="preserve">28/05/1985</w:t>
      </w:r>
    </w:p>
    <w:p/>
    <w:p>
      <w:r>
        <w:t xml:space="preserve">PRINCÍPIO DA SUCUMBÊNCIA — SE É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Decidem assim porque a ação popular é regida por lei especial (Lei nº 4.717 de 1965 - cujo art. 10 prevê, unicamente o pagamento das custas e do preparo, e que apenas se for julgado procedente o pedido será devida a verba honorária como expresso em seu art. 12, destacado com precisão no douto voto vencido. - O princípio da sucumbência consagrado no Código de Processo Civil é inaplicado à ação popular, regida por lei especial que dispõe sobre a matéria. - A jurisprudência dos tribunais, trazida à colação pelos Embargantes e pela douta Procuradoria da Justiça é do mesmo sentido. - Daí o recebimento dos Embargos. Julgado em 29-05-1985 Arquivo do EMFOR, TJ/1.412 NO MESMO SENTIDO: Apelação nº 163.248, TJSP - 5ª C, Relator: Desembargador COELHO DE PAULA, ac. de 30-12-75, "in" "EMFOR", Nº 342. NO SENTIDO CONTRÁRIO: Apelação nº 263.206, TJSP - 1ª C, Relator: JONAS VILHENA, ac. de 18-11-77, "in" "EMFOR", Nº 363. EMFOR 448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princípio da sucumbência consagrado no vigente Código de Processo Civil, não se aplica à ação popular, regida por lei especial. A própria finalidade da ação popular desautoriza a imposição do pagamento de honorários advocatícios no caso de improcedência do pedido pois tal importaria no desestímulo de seu uso pelo cidadão.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2026-09-11T06:16:35.447Z</dcterms:created>
  <dcterms:modified xsi:type="dcterms:W3CDTF">2026-09-11T06:16:35.447Z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