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105.608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SYDNEI SANCHES</w:t>
      </w:r>
    </w:p>
    <w:p>
      <w:r>
        <w:rPr>
          <w:b/>
          <w:bCs/>
        </w:rPr>
        <w:t xml:space="preserve">Julgado em: </w:t>
      </w:r>
      <w:r>
        <w:t xml:space="preserve">06/04/1987</w:t>
      </w:r>
    </w:p>
    <w:p/>
    <w:p>
      <w:r>
        <w:t xml:space="preserve">MINISTÉRIO PÚBLICO — CAUSA POR ESTE PATROCINADA -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acórdãos nos RE 105.608, Relator o Ministro DÉCIO MIRANDA e 105.566, Relator Ministro SYDNEI SANCHES, estão publicados, respectivamente, nas RTJ's 114/917 e 116/1.236. - Lê-se na ementa do último aresto referido: "Honorários de advogado. Ação acidentária. Ação indenizatória proposta pelo Ministério Público, no interesse do acidentado, contra o INPS. Honorários devidos pelo réu, vencido na casa. Conhecimento e provimento do recurso extraordinário, para esse fim recolhida, porém, a verba respectiva aos cofres públicos estaduais, no caso, Súmula 234 (*). Precedentes. - No caso presente, cabe ressaltar que o representante do Ministério Público Estadual, teve zelosa atuação, logrando êxito na segunda instância, ao obter auxílio suplementar a empregada acidentada que, sofreu lesão permanente e teve diminuída a sensibilidade táctil necessária ao trabalho na montagem de lentes oftálmicas. - Houve, assim, desempenho profissional relevante, a exigir os honorários do patrocínio. Por ser esse patrocínio do Ministério Público, os honorários são recolhidos à Fazenda estadual. Julgado em 07-04-1987 Arquivo do STF - DJ de 08-05-87 - Ementário nº 1460-3 Arquivo do EMFOR, STF/17 (*) "São devidos honorários de advogado em ação de acidente do trabalho julgada procedente." ("EMFOR", Nº 194).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acidentária quando patrocinada a causa pelo Ministério Público, no interesse do acidentado, são devidos os honorários pela autarquia ré, devendo o respectivo valor ser recolhido aos cofres do Estado.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2026-07-27T23:39:50.815Z</dcterms:created>
  <dcterms:modified xsi:type="dcterms:W3CDTF">2026-07-27T23:39:50.815Z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