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PRINCÍPIO DA SUCUMBÊNCIA</w:t>
      </w:r>
    </w:p>
    <w:p/>
    <w:p>
      <w:r>
        <w:rPr>
          <w:b/>
          <w:bCs/>
        </w:rPr>
        <w:t xml:space="preserve">Recurso: </w:t>
      </w:r>
      <w:r>
        <w:t xml:space="preserve">apelação ..</w:t>
      </w:r>
    </w:p>
    <w:p/>
    <w:p>
      <w:r>
        <w:t xml:space="preserve">QUANDO A VERBA É DEVIDA PELO ESTADO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de apelação ..., postula a Fazenda do Estado a reforma de sentença ..., que julgou procedente ação de cobrança de honorários advocatícios. Sustenta que: somente quanto a atendimento a réu carente é que deve responder o Estado; não pode esse ônus ser estendido a outras situações; há Defensor Público, que pode suprir as necessidades existentes; existe convênio, a respeito, com a OAB, bastando a expedição de ofício; deve ser seguido no caso concreto. - Recebido o recurso ..., foi contra-arrazoado... . Salienta-se que: a nomeação foi feita por agente do Poder Público; os serviços foram prestados; os réus atendidos são carentes; constitui a hipótese fato anômalo, que escapa os limites do convênio; não presta o Estado a assistência devida, daí a necessidade de nomeação de advogados dativos; a jurisprudência tem acolhido os pleitos de pagamentos. - Anote-se, ainda, o recurso oficial ... . - É o relatório. - Não assiste razão à apelante, pois os serviços foram prestados; o interessado foi nomeado pelo magistrado competente; necessário era o atendimento, diante de dificuldades, notoriamente existentes, tanto nos serviços estatais, como na aplicação do convênio mencionado. Cabe, pois, ao Estado responder pelo pagamento (CF, art. 37, parágrafo 6º). - Não se pode, em verdade, em hipóteses que tais, deixar de reconhecer o relevo da participação de profissionais que, consultados, atendem prontamente a chamado da Justiça, a fim de que pessoas necessitadas possam dispor do sagrado direito de defesa, garantido na Car ta Magna (art. 5º, LV). - Nada mais justo, pois, que se remunere o profissional, como contrapartida à sua atuação, como vem assentando a jurisprudência dominante. - Face ao exposto, nega-se provimento aos recursos. Ac. de 05-07-1994 Revista dos Tribunais - Dezembro de 1994 - Vol. 710 - Pág. 88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pode, em verdade, em hipóteses que tais, deixar de reconhecer o relevo da participação de profissionais que, consultados, atendem prontamente a chamado da Justiça, a fim de que pessoas necessitadas possam dispor do sagrado direito de defesa, garantido na Carta Magna (art. 5º, LV). Nada mais justo, pois, que se remunere o profissional, como contrapartida à sua atuação.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2026-10-16T17:12:48.391Z</dcterms:created>
  <dcterms:modified xsi:type="dcterms:W3CDTF">2026-10-16T17:12:48.391Z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