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HONORÁRIOS DE ADVOGADO</w:t>
      </w:r>
    </w:p>
    <w:p>
      <w:r>
        <w:rPr>
          <w:i/>
          <w:iCs/>
          <w:color w:val="666666"/>
        </w:rPr>
        <w:t xml:space="preserve">PRINCÍPIO DA SUCUMBÊNCIA</w:t>
      </w:r>
    </w:p>
    <w:p/>
    <w:p/>
    <w:p>
      <w:r>
        <w:t xml:space="preserve">FIXAÇÃO EM VALOR SUPERIOR — QUANDO SE LEGITIMA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dignidade profissional do advogado é incompatível com honorários irrisórios, pelo que essa verba, afim de afastar tal incompatibilidade, pode ser fixada em valor até superior ao da causa. ("Diário de Justiça nº 3.158, de 16-5-90"). - No caso presente, a advogada apelante dedicou grande empenho em favor dos interesses da sua cliente. - Conseguiu vitória neste Tribunal e a tese esposada na sentença foi largamente discutida pelo Supremo Tribunal Federal que afinal por seis votos a cinco deu provimento ao recurso para anular a sentença. - Baixando os autos em 10 de maio de 1990, portanto, decorridos mais de dez anos, nova sentença foi proferida, julgando procedente o pedido. - Não é justo que numa demanda de tamanha envergadura seja a advogada contemplada com a irrisória quantia de Cr$ 70.000,00 (setenta mil cruzeiros). - Recurso Provido. Ac. de 10-09-1991 Arquivo do EMFOR - TJ/2.206 EMFOR 521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"A dignidade profissional do advogado é incompatível com honorários irrisórios, pelo que essa verba, afim de afastar tal incompatibilidade, pode ser fixada em valor até superior ao da causa". (Trecho do Acórdão).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2026-10-16T17:26:36.589Z</dcterms:created>
  <dcterms:modified xsi:type="dcterms:W3CDTF">2026-10-16T17:26:36.589Z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