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Recurso: </w:t>
      </w:r>
      <w:r>
        <w:t xml:space="preserve">Agravo de Instrumento 963</w:t>
      </w:r>
    </w:p>
    <w:p/>
    <w:p>
      <w:r>
        <w:t xml:space="preserve">SE É COMPETENTE PARA JULGAR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O juiz que iniciou a audiência e concluiu a instrução, com o encerramento dos debates, mesmo transferido por promoção ou remoção, será o competente para julgar a lide. Referência: - Conflito de Competência nº 69, de Sombrio. - Conflito Negativo de Competência nº 108, de Trombudo Central. - Conflito Negativo de Competência nº 115, de Blumenau. - Conflito Negativo de Competência nº 123, de Santa Cecília. - Agravo de Instrumento nº 963, de São Miguel do Oeste. Jurisprudência Catarinense,1987 - Nº 57 - Pág.14. N.da R.: A matéria é controvertida, constando do &lt;&lt;EMENTÁRIO FORENSE&gt;&gt;, nº 390, a SÚMULA revogada, bem assim, no Nº 402, o acórdão proferido no Incidente de Revisão de Súmula do mesmo Tribunal de nº 159, que admitiu a divergência da Súmula com acórdãos do Supremo Tribunal Federal. EMFOR 477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2026-07-28T03:40:54.181Z</dcterms:created>
  <dcterms:modified xsi:type="dcterms:W3CDTF">2026-07-28T03:40:54.181Z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