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"CALÇAMENTO" DE NOTAS FISCAIS</w:t>
      </w:r>
    </w:p>
    <w:p/>
    <w:p>
      <w:r>
        <w:rPr>
          <w:b/>
          <w:bCs/>
        </w:rPr>
        <w:t xml:space="preserve">Recurso: </w:t>
      </w:r>
      <w:r>
        <w:t xml:space="preserve">RE 42.224</w:t>
      </w:r>
    </w:p>
    <w:p/>
    <w:p>
      <w:r>
        <w:t xml:space="preserve">BRASILEIRO — TRANSFERÊNCIA DEFINITIVA PARA O BRASIL - VEÍCULO LICENCIADO HÁ MAIS DE SEIS MESES - ADMISSIBILIDADE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Brasileiro domiciliado no estrangeiro que se transfere definitivamente para o Brasil pode trazer automóvel licenciado em seu nome há mais de seis meses. Referência: - Lei nº 2.145, de 29.12.53, artigo 7º ERE 42.224, de 23.01.61; ERE 41.001, de 25.10.63; ERE39.190, de 15.12.61. Súmula de Jurisprudência Predominante do Supremo Tribunal Federal - Aprovada em Sessão de 13-12-1963 - pág. 53 EMENTÁRIO FORENSE. Novembro, 1964. Ano XVI. Nº 192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2026-10-26T04:58:42.661Z</dcterms:created>
  <dcterms:modified xsi:type="dcterms:W3CDTF">2026-10-26T04:58:42.661Z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