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REsp 31.215</w:t>
      </w:r>
    </w:p>
    <w:p/>
    <w:p>
      <w:r>
        <w:t xml:space="preserve">ADICIONAL AO FRETE PARA RENOVAÇÃO DA MARINHA MERCANTE — SE É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devido o Adicional ao Frete para Renovação da Marinha Mercante na importação sob o regime de benefícios fiscais à exportação (BEFIEX). Referência Cód. Trib. Nacional, art. 111, II. Lei 5.025, de 10-6-66, art. 55, com redação dada pelo Decreto-Lei 24, de 19-10-66, art. 4º. Decreto-Lei 1.219, de 15-5-72, art. 15. Decreto-Lei 1.248, de 29-11-72. Decreto-Lei 1.081, de 18-8-80. REsp 31.215 - SP (1ª T. 23-06-93 - DJ 23-08-93). REsp 36.366 - SP (1ª T. 25-08-93 - DJ 20-09-93). REsp 38.216 - SP (1ª T. 06-10-93 - DJ 08-11-93). REsp 34.009 - SP (2ª T. 30-06-93 - DJ 02-08-93). REsp 36.659 - SP (2ª T. 01-09-93 - DJ 11-10-93). Primeira Seção em 19-4-94. DJ 25-4-94, pág. 9.286 EMFOR - Nº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2026-10-26T03:21:06.898Z</dcterms:created>
  <dcterms:modified xsi:type="dcterms:W3CDTF">2026-10-26T03:21:06.898Z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