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"CALÇAMENTO" DE NOTAS FISCAIS</w:t>
      </w:r>
    </w:p>
    <w:p/>
    <w:p>
      <w:r>
        <w:rPr>
          <w:b/>
          <w:bCs/>
        </w:rPr>
        <w:t xml:space="preserve">Recurso: </w:t>
      </w:r>
      <w:r>
        <w:t xml:space="preserve">RE 39.933</w:t>
      </w:r>
    </w:p>
    <w:p/>
    <w:p>
      <w:r>
        <w:t xml:space="preserve">MEIO COERCITIVO PARA O PAGAMENTO — INADMISSIBILIDADE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inadmissível a apreensão de mercadorias como meio coercitivo para pagamento de tributos. Referência: - Lei das Execuções Fiscais, arts. 1º e 6º RE 39.933, de 09.01.61 Aprovada em Sessão de 13-12-1963 EMFOR Nº 196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2026-10-26T03:40:41.224Z</dcterms:created>
  <dcterms:modified xsi:type="dcterms:W3CDTF">2026-10-26T03:40:41.224Z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