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"CALÇAMENTO" DE NOTAS FISCAIS</w:t>
      </w:r>
    </w:p>
    <w:p/>
    <w:p>
      <w:r>
        <w:rPr>
          <w:b/>
          <w:bCs/>
        </w:rPr>
        <w:t xml:space="preserve">Recurso: </w:t>
      </w:r>
      <w:r>
        <w:t xml:space="preserve">MS 11.769</w:t>
      </w:r>
    </w:p>
    <w:p/>
    <w:p>
      <w:r>
        <w:t xml:space="preserve">CONTRATO DE FINANCIAMENTO — IMUNIDADE - SE SE ESTENDE À COMPRA E VENDA ENTRE PARTICULARES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da autarquia financiadora, quanto ao contrato de financiamento, não se estende à compra e venda entre particulares, embora constantes os dois atos de um só instrumento. Referência: - Constituição Federal, art. 31, V, a - Decreto-Lei nº 6.016, de 22.11.43 RMS 11.769, de 23.10.63 RE 51.780, de 22.11.62 (D.J. de 04.04.63, p. 147) RE 54.235, de 24.10.63 Aprovada em Sessão de 13-12-1963 EMFOR Nº 196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2026-07-28T00:05:40.073Z</dcterms:created>
  <dcterms:modified xsi:type="dcterms:W3CDTF">2026-07-28T00:05:40.073Z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