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Recurso: </w:t>
      </w:r>
      <w:r>
        <w:t xml:space="preserve">RE 43.152</w:t>
      </w:r>
    </w:p>
    <w:p/>
    <w:p>
      <w:r>
        <w:t xml:space="preserve">ISENÇÃO — QUAIS OS TRIBUTOS ABRANGIDOS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imunidade das autarquias, implicitamente contida no artigo nº 31, V, "a", da Constituição Federal, abrange tributos estaduais e municipais. Referência: - Dec.-Lei nº 6.016, de 22.11.43 ERE 43.152, de 18.09.61, ERE 37.790, de 15.05.61; RE 44.875, de 20.12.60; RE 52.475, de 23.04.63; RMS 10.417, de 17.10.62. Súmula de Jurisprudência Predominante do Supremo Tribunal Federal - Aprovada em Sessão de 13-12-1963 - pág. 55 EMENTÁRIO FORENSE. Dezembro, 1964. Ano XVI. Nº 193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2026-07-28T02:03:57.695Z</dcterms:created>
  <dcterms:modified xsi:type="dcterms:W3CDTF">2026-07-28T02:03:57.695Z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