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 43.152</w:t>
      </w:r>
    </w:p>
    <w:p/>
    <w:p>
      <w:r>
        <w:t xml:space="preserve">IMÓVEL PROMETIDO VENDER A PARTICULAR MAS AINDA TRANSCRITO EM NOME DESTA — SUBSISTÊNCIA DA IMUNIDADE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imóvel transcrito em nome de autarquia, embora objeto de promessa de venda a particulares, continua imune de impostos locais. Referência: - Const. Fed., artigo 31, V. "a"; - Dec.-Lei nº 6.016, de 22.11.43; - Cód. Civil, artigos 530 e 531 ERE 43.152, de 18.09.61; RMS 9.970, de 06.08.62 (D. de Just. de 20.12.62, p. 856); RMS 9.989, de 29.08.62; RMS 10.269, de 27.05.63; RE 50.657, de 22.10.62 (D. de Just. de 27.12.62, p. 900). Súmula de Jurisprudência Predominante do Supremo Tribunal Federal - Aprovada em Sessão de 13-12-1963 - pág. 58 EMENTÁRIO FORENSE. Dezembro, 1964. Ano XVI. Nº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2026-07-28T06:43:56.068Z</dcterms:created>
  <dcterms:modified xsi:type="dcterms:W3CDTF">2026-07-28T06:43:56.068Z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