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43.152</w:t>
      </w:r>
    </w:p>
    <w:p/>
    <w:p>
      <w:r>
        <w:t xml:space="preserve">IMÓVEL PROMETIDO VENDER A PARTICULAR MAS AINDA TRANSCRITO EM NOME DESTA — SUBSISTÊNCIA DA IMUNIDADE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imóvel transcrito em nome de autarquia, embora objeto de promessa de venda a particulares, continua imune de impostos locais. Referência: - Const. Fed., artigo 31, V. "a"; - Dec.-Lei nº 6.016, de 22.11.43; - Cód. Civil, artigos 530 e 531 ERE 43.152, de 18.09.61; RMS 9.970, de 06.08.62 (D. de Just. de 20.12.62, p. 856); RMS 9.989, de 29.08.62; RMS 10.269, de 27.05.63; RE 50.657, de 22.10.62 (D. de Just. de 27.12.62, p. 900). Súmula de Jurisprudência Predominante do Supremo Tribunal Federal - Aprovada em Sessão de 13-12-1963 - pág. 58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2026-10-26T02:34:04.943Z</dcterms:created>
  <dcterms:modified xsi:type="dcterms:W3CDTF">2026-10-26T02:34:04.943Z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