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ORDEM TRIBUTÁRIA</w:t>
      </w:r>
    </w:p>
    <w:p>
      <w:r>
        <w:rPr>
          <w:i/>
          <w:iCs/>
          <w:color w:val="666666"/>
        </w:rPr>
        <w:t xml:space="preserve">"CALÇAMENTO" DE NOTAS FISCAIS</w:t>
      </w:r>
    </w:p>
    <w:p/>
    <w:p>
      <w:r>
        <w:rPr>
          <w:b/>
          <w:bCs/>
        </w:rPr>
        <w:t xml:space="preserve">Recurso: </w:t>
      </w:r>
      <w:r>
        <w:t xml:space="preserve">RE 51.390</w:t>
      </w:r>
    </w:p>
    <w:p/>
    <w:p>
      <w:r>
        <w:t xml:space="preserve">AUMENTO POSTERIOR — ANTERIORIDADE AO RESPECTIVO EXERCÍCIO - COBRANÇA - LEGITIMIDADE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legítima a cobrança do tributo que houver sido aumentado após o orçamento, mas antes do início do respectivo exercício financeiro. Referência: - Const. Fed., artigo 141, § 34. RE 51.390, de 12.11.62; RMS 8.669, de 05.12.62; RMS 11.099, de 25.03.63 (D. de Just. de 24.05.63, p. 325). Aprovada em Sessão de 13-12-1963 - pág. 55 V. Emenda Constitucional nº 7, de 22.05.64. EMENTÁRIO FORENSE. Novembro, 1964. Ano XVI. Nº 192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2026-07-28T02:23:43.120Z</dcterms:created>
  <dcterms:modified xsi:type="dcterms:W3CDTF">2026-07-28T02:23:43.120Z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