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ORDEM TRIBUTÁRIA</w:t>
      </w:r>
    </w:p>
    <w:p>
      <w:r>
        <w:rPr>
          <w:i/>
          <w:iCs/>
          <w:color w:val="666666"/>
        </w:rPr>
        <w:t xml:space="preserve">"CALÇAMENTO" DE NOTAS FISCAIS</w:t>
      </w:r>
    </w:p>
    <w:p/>
    <w:p>
      <w:r>
        <w:rPr>
          <w:b/>
          <w:bCs/>
        </w:rPr>
        <w:t xml:space="preserve">Recurso: </w:t>
      </w:r>
      <w:r>
        <w:t xml:space="preserve">RE 51.390</w:t>
      </w:r>
    </w:p>
    <w:p/>
    <w:p>
      <w:r>
        <w:t xml:space="preserve">AUMENTO POSTERIOR — ANTERIORIDADE AO RESPECTIVO EXERCÍCIO - COBRANÇA - LEGITIMIDADE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legítima a cobrança do tributo que houver sido aumentado após o orçamento, mas antes do início do respectivo exercício financeiro. Referência: - Const. Fed., artigo 141, § 34. RE 51.390, de 12.11.62; RMS 8.669, de 05.12.62; RMS 11.099, de 25.03.63 (D. de Just. de 24.05.63, p. 325). Aprovada em Sessão de 13-12-1963 - pág. 55 V. Emenda Constitucional nº 7, de 22.05.64. EMENTÁRIO FORENSE. Novembro, 1964. Ano XVI. Nº 192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2026-10-26T05:56:38.990Z</dcterms:created>
  <dcterms:modified xsi:type="dcterms:W3CDTF">2026-10-26T05:56:38.990Z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