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>
      <w:r>
        <w:rPr>
          <w:b/>
          <w:bCs/>
        </w:rPr>
        <w:t xml:space="preserve">Recurso: </w:t>
      </w:r>
      <w:r>
        <w:t xml:space="preserve">MS 7.745</w:t>
      </w:r>
    </w:p>
    <w:p/>
    <w:p>
      <w:r>
        <w:t xml:space="preserve">SOCIEDADE DE ECONOMIA MISTA — SE ESTÁ ABRANGIDA PELA MESMA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sociedades de economia mista não estão protegidas pela imunidade fiscal do artigo 31, V, "a", da Constituição Federal. Referência: - Dec.-Lei nº 6.016, de 22 de novembro de1943 MS 7.745, de 21.12.60; RMS 9.348, de 24.04.63. Súmula de Jurisprudência Predominante do Supremo Tribunal Federal - Aprovada em Sessão de 13-12-1963 - pág. 58 EMENTÁRIO FORENSE. Dezembro, 1964. Ano XVI. Nº 193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2026-10-26T04:12:55.456Z</dcterms:created>
  <dcterms:modified xsi:type="dcterms:W3CDTF">2026-10-26T04:12:55.456Z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