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TRIBUTÁRIO NACIONAL</w:t>
      </w:r>
    </w:p>
    <w:p>
      <w:r>
        <w:rPr>
          <w:i/>
          <w:iCs/>
          <w:color w:val="666666"/>
        </w:rPr>
        <w:t xml:space="preserve">DECRETO-LEI 28 DE 14-11-1966</w:t>
      </w:r>
    </w:p>
    <w:p/>
    <w:p/>
    <w:p>
      <w:r>
        <w:t xml:space="preserve">EMISSÃO DE DOCUMENTOS FISCAIS E O ARBITRAMENTO DA RECEITA MÍNIMA — DISPÕE SOBRE</w:t>
      </w:r>
    </w:p>
    <w:p/>
    <w:p>
      <w:pPr>
        <w:pStyle w:val="Heading2"/>
      </w:pPr>
      <w:r>
        <w:rPr>
          <w:b/>
          <w:bCs/>
        </w:rPr>
        <w:t xml:space="preserve">Ementa</w:t>
      </w:r>
    </w:p>
    <w:p>
      <w:r>
        <w:t xml:space="preserve">LEI Nº 8.846, DE 21 DE JANEIRO DE 1994 Dispõe sobre a emissão de documentos fiscais e o arbitramento da receita mínima para efeitos tributários, e dá outras providências. O PRESIDENTE DA REPÚBLICA Faço saber que o Congresso Nacional decreta e eu sanciono a seguinte lei: Art. 1º A emissão de nota fiscal, recibo ou documento equivalente, relativo à venda de mercadorias, prestação de serviços ou operações de alienação de bens móveis, deverá ser efetuada, para efeito da legislação do imposto sobre a renda e proventos de qualquer natureza, no momento da efetivação da operação. § 1º O disposto neste artigo também alcança: a) a locação de bens móveis e imóveis; b) quaisquer outras transações realizadas com bens e serviços, praticadas por pessoas físicas ou jurídicas. § 2º O Ministro da Fazenda estabelecerá, para efeito da legislação do imposto sobre a renda e proventos de qualquer natureza, os documentos equivalentes à nota fiscal ou recibo podendo dispensá-los quando os considerar desnecessários. Art. 2º Caracteriza omissão de receita ou de rendimentos, inclusive ganhos de capital para efeito do imposto sobre a renda e proventos de qualquer natureza e das contribuições sociais, incidentes sobre o lucro e o faturamento, a falta de emissão da nota fiscal, recibo ou documento equivalente, no momento da efetivação das operações a que se refere o artigo anterior, bem como a sua emissão com valor inferior ao da operação. Art. 3º Ao contribuinte, pessoa física ou jurídica, que não houver emitido a nota fiscal, recibo ou documento equivalente, na situação de que trata o art. 2º, ou não houver comprovado a sua emissão, será aplicada a multa pecuniária de trezentos por cento sobre o valor do bem objeto da operação ou do serviço prestado, não passível de redução, sem prejuízo da incidência do imposto sobre a renda e proventos de qualquer natureza e das contribuições sociais. Parágrafo único. Na hipótese prevista neste artigo, não se aplica o disposto no art. 4º da Lei nº 8.218, de 29 de agosto de 1991. Art. 4º A base de cálculo da multa de que trata o art. 3º será o valor efetivo da operação, devendo ser utilizado, em sua falta, o valor constante da tabela preços do vendedor, para pagamento à vista, ou o preço de mercado. Art. 5º Em todo local onde se proceda à venda de bens ou à prestação de serviços, deverão ser afixados, em lugar visível e de fácil leitura, o teor dos arts. 1º a 4º desta lei, além de cartazes informativos elaborados pela Secretaria da Receita Federal. § 1º A pessoa física ou jurídica que descumprir o disposto neste artigo ficará sujeita à multa correspondente a CR$200.000,00 (duzentos mil cruzeiros reais), atualizados monetariamente pela variação da Unidade Fiscal de Referência (Ufir) mensal, a ser aplicada pelos órgãos de proteção ao direito do consumidor, vinculados ao Ministério da Justiça. § 2º A multa será reaplicada a cada dez dias se não atendida a exigência a que se refere o caput deste artigo. Art. 6º Verificada por indícios a omissão da receita, a autoridade tributária poderá, para efeito de determinação da base cálculo sujeita à incidência dos impostos federais e contribuições sociais, arbitrar a receita do contribuinte, tomando por base as receitas, apuradas em procedimento fiscal, correspondentes ao movimento diário das vendas, da prestação de serviços e de quaisquer outras operações. § 1º Para efeito de arbitramento da receita mínima do mês, serão identificados pela autoridade tributária os valores efetivos das receitas auferidas pelo contribuinte em três dias alternados desse mesmo mês, necessariamente representativos das variações de funcionamento do estabelecimento ou da atividade. § 2º A renda mensal arbitrada corresponderá à multiplicação do valor correspondente à média das receitas apuradas na forma do § 1º pelo número de dias de funcionamento do est abelecimento naquele mês. § 3º O critério estabelecido no § 1º poderá ser aplicado a, pelo menos três meses do mesmo ano-calendário. § 4º No caso do parágrafo anterior, a receita média mensal das vendas, da prestação de serviços e de outras operações correspondentes aos meses arbitrados será considerada suficientemente representativa das receitas auferidas pelo contribuinte naquele estabelecimento, podendo ser utilizada, para efeitos fiscais, por até doze meses contados a partir do último mês submetido às disposições previstas no § 1º. § 5º A receita arbitrada a ser considerada nos meses subseqüentes deverá ser atualizada monetariamente com base na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2026-06-17T15:17:19.204Z</dcterms:created>
  <dcterms:modified xsi:type="dcterms:W3CDTF">2026-06-17T15:17:19.204Z</dcterms:modified>
</cp:coreProperties>
</file>

<file path=docProps/custom.xml><?xml version="1.0" encoding="utf-8"?>
<Properties xmlns="http://schemas.openxmlformats.org/officeDocument/2006/custom-properties" xmlns:vt="http://schemas.openxmlformats.org/officeDocument/2006/docPropsVTypes"/>
</file>