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MS 12.064</w:t>
      </w:r>
    </w:p>
    <w:p/>
    <w:p>
      <w:r>
        <w:t xml:space="preserve">TRIBUTO QUE LHE FOI TRANSFERIDO PELA EMENDA CONSTITUCIONAL Nº 5 — LEGITIMIDADE DA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cobrança, pelos municípios, no exercício de 1961, de tributo estadual, regularmente criado ou aumentado, e que lhes foi transferido pela Emenda Constitucional nº 05, de 21.11.61. Referência: - Constituição Federal, art. 141, § 34 RMS 12.064, de 06.11.63; RMS 10.613, de 25.03.63 (D. de Just. de 06.06.63, p. 362); RMS 10.461 de 17.10.62 (D. de Just. de 20.11.62, p. 749). Súmula de Jurisprudência Predominante do Supremo Tribunal Federal - Aprovada em Sessão de 13-12-1963 - pág. 56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2026-10-26T02:31:23.725Z</dcterms:created>
  <dcterms:modified xsi:type="dcterms:W3CDTF">2026-10-26T02:31:23.725Z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