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29.285</w:t>
      </w:r>
    </w:p>
    <w:p/>
    <w:p>
      <w:r>
        <w:t xml:space="preserve">AUMENTO LIMITAÇÃO PELA CONSTITUIÇÃO ESTADUAL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Estadual não pode estabelecer limite para o aumento de tributos municipais. Referência: - Const. Fed., artigos 28, II, a e 18, § 1º. - Const. ST (M. Gerais), artigo 169. - Lei Est. (Paraná) 64, de 21.02.48, artigo 57, III RE 29.285, de 10.07.61; RE 35.719, de 20.10.61 (D. de Just. de 03.01.63, p. 30); RE 35.326, de 20.10.61; RE 45.243, de 07.04.61. RMS 8.392, de 18.10.61; RMS 9.518, de 26.01.62 (D. de Just. de 04.04.63); RMS 9.566, de 23.05.62. Representação 494, de 11.06.62; AG 28.630, de 19.11.63. Súmula de Jurisprudência Predominante do Supremo Tribunal Federal - Aprovada em Sessão de 13-12-1963 - pág. 56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2026-07-27T23:29:08.767Z</dcterms:created>
  <dcterms:modified xsi:type="dcterms:W3CDTF">2026-07-27T23:29:08.767Z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