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AMÉRICO LUZ</w:t>
      </w:r>
    </w:p>
    <w:p/>
    <w:p>
      <w:r>
        <w:t xml:space="preserve">EXPORTAÇÃO — ABATIMENTO DA QUOTA DO IBC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Cumpre observar que a questão resta superada nesta Corte, conforme entendimento consagrado em interativa jurisprudência, no sentido de que na exportação de café cru, o valor correspondente à quota de contribuição, instituída pelo Decreto 2.295/86, não se inclui na base de cálculo do ICMS. Lembro para exemplificar os recursos especiais: 3.893 - Relator Ministro ARMANDO ROLEMBERG; 3.926 - Relator Ministro GARCIA VIEIRA; 7.412 - Relator Ministro JOSÉ DE JESUS e 12.344 - Relator Ministro AMÉRICO LUZ. Ac. de 04-12-1991 Arquivo do EMFOR - STJ/623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exportação de café cru, o valor correspondente à quota de contribuição instituído pelo DL 2.295/86, não se inclui na base de cálculo do ICM.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2026-07-28T00:00:29.535Z</dcterms:created>
  <dcterms:modified xsi:type="dcterms:W3CDTF">2026-07-28T00:00:29.535Z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